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858D" w14:textId="4B0299EF" w:rsidR="009B31F3" w:rsidRPr="00A74F31" w:rsidRDefault="009B31F3" w:rsidP="00A74F31">
      <w:pPr>
        <w:pBdr>
          <w:bottom w:val="single" w:sz="12" w:space="1" w:color="auto"/>
        </w:pBdr>
        <w:rPr>
          <w:b/>
          <w:bCs/>
          <w:sz w:val="32"/>
          <w:szCs w:val="32"/>
        </w:rPr>
      </w:pPr>
      <w:r w:rsidRPr="009B31F3">
        <w:rPr>
          <w:b/>
          <w:bCs/>
          <w:sz w:val="32"/>
          <w:szCs w:val="32"/>
        </w:rPr>
        <w:t>Application</w:t>
      </w:r>
      <w:r w:rsidR="00A74F31">
        <w:rPr>
          <w:b/>
          <w:bCs/>
          <w:sz w:val="32"/>
          <w:szCs w:val="32"/>
        </w:rPr>
        <w:t xml:space="preserve"> Form</w:t>
      </w:r>
      <w:r w:rsidRPr="009B31F3">
        <w:rPr>
          <w:b/>
          <w:bCs/>
          <w:sz w:val="32"/>
          <w:szCs w:val="32"/>
        </w:rPr>
        <w:t xml:space="preserve"> to Organise</w:t>
      </w:r>
      <w:r w:rsidR="00A74F31">
        <w:rPr>
          <w:b/>
          <w:bCs/>
          <w:sz w:val="32"/>
          <w:szCs w:val="32"/>
        </w:rPr>
        <w:t xml:space="preserve"> a</w:t>
      </w:r>
      <w:r w:rsidRPr="009B31F3">
        <w:rPr>
          <w:b/>
          <w:bCs/>
          <w:sz w:val="32"/>
          <w:szCs w:val="32"/>
        </w:rPr>
        <w:t xml:space="preserve"> Side Event at GFMD 2020 Summit</w:t>
      </w:r>
    </w:p>
    <w:p w14:paraId="1A3BCA10" w14:textId="1FF0E66B" w:rsidR="009B31F3" w:rsidRDefault="009B31F3"/>
    <w:p w14:paraId="75E7734A" w14:textId="473973F6" w:rsidR="00106E82" w:rsidRPr="00106E82" w:rsidRDefault="00106E82" w:rsidP="00106E82">
      <w:pPr>
        <w:jc w:val="both"/>
        <w:rPr>
          <w:b/>
          <w:bCs/>
          <w:sz w:val="20"/>
          <w:szCs w:val="20"/>
        </w:rPr>
      </w:pPr>
      <w:r w:rsidRPr="00106E82">
        <w:rPr>
          <w:b/>
          <w:bCs/>
          <w:sz w:val="20"/>
          <w:szCs w:val="20"/>
        </w:rPr>
        <w:t>Please return the form on the following page to the Support Unit (</w:t>
      </w:r>
      <w:hyperlink r:id="rId5" w:history="1">
        <w:r w:rsidRPr="00106E82">
          <w:rPr>
            <w:rStyle w:val="Hyperlink"/>
            <w:b/>
            <w:bCs/>
            <w:sz w:val="20"/>
            <w:szCs w:val="20"/>
          </w:rPr>
          <w:t>support.unit@gfmd.org</w:t>
        </w:r>
      </w:hyperlink>
      <w:r w:rsidRPr="00106E82">
        <w:rPr>
          <w:b/>
          <w:bCs/>
          <w:sz w:val="20"/>
          <w:szCs w:val="20"/>
        </w:rPr>
        <w:t xml:space="preserve">) </w:t>
      </w:r>
    </w:p>
    <w:p w14:paraId="77C45C07" w14:textId="1D485FA7" w:rsidR="00106E82" w:rsidRPr="00106E82" w:rsidRDefault="00106E82" w:rsidP="00106E82">
      <w:pPr>
        <w:jc w:val="both"/>
        <w:rPr>
          <w:b/>
          <w:bCs/>
          <w:sz w:val="20"/>
          <w:szCs w:val="20"/>
        </w:rPr>
      </w:pPr>
      <w:r w:rsidRPr="00106E82">
        <w:rPr>
          <w:b/>
          <w:bCs/>
          <w:sz w:val="20"/>
          <w:szCs w:val="20"/>
        </w:rPr>
        <w:t xml:space="preserve">by </w:t>
      </w:r>
      <w:r w:rsidR="00325DB8">
        <w:rPr>
          <w:b/>
          <w:bCs/>
          <w:sz w:val="20"/>
          <w:szCs w:val="20"/>
        </w:rPr>
        <w:t>Tuesday</w:t>
      </w:r>
      <w:r w:rsidRPr="00106E82">
        <w:rPr>
          <w:b/>
          <w:bCs/>
          <w:sz w:val="20"/>
          <w:szCs w:val="20"/>
        </w:rPr>
        <w:t xml:space="preserve"> 1</w:t>
      </w:r>
      <w:r w:rsidR="00325DB8">
        <w:rPr>
          <w:b/>
          <w:bCs/>
          <w:sz w:val="20"/>
          <w:szCs w:val="20"/>
        </w:rPr>
        <w:t>5</w:t>
      </w:r>
      <w:bookmarkStart w:id="0" w:name="_GoBack"/>
      <w:bookmarkEnd w:id="0"/>
      <w:r w:rsidRPr="00106E82">
        <w:rPr>
          <w:b/>
          <w:bCs/>
          <w:sz w:val="20"/>
          <w:szCs w:val="20"/>
        </w:rPr>
        <w:t xml:space="preserve"> December. </w:t>
      </w:r>
    </w:p>
    <w:p w14:paraId="00AF64AA" w14:textId="63B56BE1" w:rsidR="00106E82" w:rsidRPr="00106E82" w:rsidRDefault="00106E82" w:rsidP="00106E82">
      <w:pPr>
        <w:jc w:val="both"/>
        <w:rPr>
          <w:b/>
          <w:bCs/>
          <w:sz w:val="20"/>
          <w:szCs w:val="20"/>
        </w:rPr>
      </w:pPr>
    </w:p>
    <w:p w14:paraId="41F88853" w14:textId="49FBFD62" w:rsidR="00106E82" w:rsidRPr="00106E82" w:rsidRDefault="00106E82" w:rsidP="00106E82">
      <w:pPr>
        <w:jc w:val="both"/>
        <w:rPr>
          <w:b/>
          <w:bCs/>
          <w:sz w:val="20"/>
          <w:szCs w:val="20"/>
        </w:rPr>
      </w:pPr>
      <w:r w:rsidRPr="00106E82">
        <w:rPr>
          <w:b/>
          <w:bCs/>
          <w:sz w:val="20"/>
          <w:szCs w:val="20"/>
        </w:rPr>
        <w:t xml:space="preserve">Please note: </w:t>
      </w:r>
    </w:p>
    <w:p w14:paraId="633480AD" w14:textId="70395226" w:rsidR="00106E82" w:rsidRDefault="00106E82" w:rsidP="00106E82">
      <w:pPr>
        <w:jc w:val="both"/>
        <w:rPr>
          <w:b/>
          <w:bCs/>
          <w:sz w:val="22"/>
          <w:szCs w:val="22"/>
        </w:rPr>
      </w:pPr>
    </w:p>
    <w:p w14:paraId="4809DF2F" w14:textId="3ED33B59"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There will be</w:t>
      </w:r>
      <w:r>
        <w:rPr>
          <w:rFonts w:asciiTheme="majorHAnsi" w:hAnsiTheme="majorHAnsi" w:cstheme="majorHAnsi"/>
          <w:sz w:val="20"/>
          <w:szCs w:val="20"/>
        </w:rPr>
        <w:t xml:space="preserve"> </w:t>
      </w:r>
      <w:r w:rsidR="00D220B9">
        <w:rPr>
          <w:rFonts w:asciiTheme="majorHAnsi" w:hAnsiTheme="majorHAnsi" w:cstheme="majorHAnsi"/>
          <w:sz w:val="20"/>
          <w:szCs w:val="20"/>
        </w:rPr>
        <w:t>twelve</w:t>
      </w:r>
      <w:r>
        <w:rPr>
          <w:rFonts w:asciiTheme="majorHAnsi" w:hAnsiTheme="majorHAnsi" w:cstheme="majorHAnsi"/>
          <w:sz w:val="20"/>
          <w:szCs w:val="20"/>
        </w:rPr>
        <w:t xml:space="preserve"> </w:t>
      </w:r>
      <w:r w:rsidRPr="00106E82">
        <w:rPr>
          <w:rFonts w:asciiTheme="majorHAnsi" w:hAnsiTheme="majorHAnsi" w:cstheme="majorHAnsi"/>
          <w:sz w:val="20"/>
          <w:szCs w:val="20"/>
        </w:rPr>
        <w:t xml:space="preserve">slots available for side events during the UAE’s GFMD Summit. </w:t>
      </w:r>
    </w:p>
    <w:p w14:paraId="3DC3DCD3"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1DFB60D3" w14:textId="59412E7C"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Given the timing challenges created as a result of the decision to go entirely online, side event organisers will need to identify which time zone they wish to prioritise.</w:t>
      </w:r>
    </w:p>
    <w:p w14:paraId="4FBE2DC8"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4DEF3529" w14:textId="28F31261"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There are four slots available at a time that allows for participation by an audience in East Asia and Oceania; and four slots that are available at a time that allows for participation by an audience in the Americas. </w:t>
      </w:r>
    </w:p>
    <w:p w14:paraId="6CD74820"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19F6D27D" w14:textId="3D7B8E94"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The ‘morning’ slots (participation from East Asia and Oceania) will begin at 09:00 UTC. The ‘afternoon’ slots will begin at 15:00 UTC (participation from Americas).</w:t>
      </w:r>
    </w:p>
    <w:p w14:paraId="2CF5B764"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698930B9" w14:textId="673AA655"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Each side event will last for two hours. </w:t>
      </w:r>
    </w:p>
    <w:p w14:paraId="4F1F084A"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748DEBFA" w14:textId="1BEE8404"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The Chair will provide side event organisers with: </w:t>
      </w:r>
    </w:p>
    <w:p w14:paraId="03A2C1A5"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15EB991B" w14:textId="77777777" w:rsidR="00106E82" w:rsidRPr="00106E82" w:rsidRDefault="00106E82" w:rsidP="00106E82">
      <w:pPr>
        <w:pStyle w:val="ListParagraph"/>
        <w:numPr>
          <w:ilvl w:val="0"/>
          <w:numId w:val="3"/>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Incorporation of the event in the online agenda </w:t>
      </w:r>
    </w:p>
    <w:p w14:paraId="0A5D6333" w14:textId="77777777" w:rsidR="00106E82" w:rsidRPr="00106E82" w:rsidRDefault="00106E82" w:rsidP="00106E82">
      <w:pPr>
        <w:pStyle w:val="ListParagraph"/>
        <w:numPr>
          <w:ilvl w:val="0"/>
          <w:numId w:val="3"/>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Online access to the side event for speakers and audience </w:t>
      </w:r>
    </w:p>
    <w:p w14:paraId="3BB34C75" w14:textId="77777777" w:rsidR="00106E82" w:rsidRPr="00106E82" w:rsidRDefault="00106E82" w:rsidP="00106E82">
      <w:pPr>
        <w:pStyle w:val="ListParagraph"/>
        <w:numPr>
          <w:ilvl w:val="0"/>
          <w:numId w:val="3"/>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Interpretation of one language pair (e.g. Spanish / English) from a choice of Arabic, English, French and Spanish </w:t>
      </w:r>
    </w:p>
    <w:p w14:paraId="6888EF6E" w14:textId="77777777" w:rsidR="00106E82" w:rsidRPr="00106E82" w:rsidRDefault="00106E82" w:rsidP="00106E82">
      <w:pPr>
        <w:pStyle w:val="ListParagraph"/>
        <w:numPr>
          <w:ilvl w:val="0"/>
          <w:numId w:val="3"/>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Online technician to assist speakers and participants </w:t>
      </w:r>
    </w:p>
    <w:p w14:paraId="68564160"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5016E7BA" w14:textId="45102385"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Side events should be open to all Summit delegates. </w:t>
      </w:r>
    </w:p>
    <w:p w14:paraId="19C49AF9"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2679F21D" w14:textId="5510E6A2"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Please note that, if organisers wish to make use of the ‘breakout’ function on Zoom during the event, interpretation will not be available in breakout rooms. </w:t>
      </w:r>
    </w:p>
    <w:p w14:paraId="1E7AC6EE"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672E5800" w14:textId="11B177BC"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Organisers are encouraged to identify a session moderator who is comfortable with moderating via online video conferencing and is familiar with Zoom. </w:t>
      </w:r>
    </w:p>
    <w:p w14:paraId="77F2D309"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3996F4B5" w14:textId="5FA7198E" w:rsidR="00106E82" w:rsidRPr="00106E82" w:rsidRDefault="00106E82" w:rsidP="00106E82">
      <w:pPr>
        <w:pStyle w:val="ListParagraph"/>
        <w:numPr>
          <w:ilvl w:val="0"/>
          <w:numId w:val="4"/>
        </w:numPr>
        <w:autoSpaceDE w:val="0"/>
        <w:autoSpaceDN w:val="0"/>
        <w:adjustRightInd w:val="0"/>
        <w:jc w:val="both"/>
        <w:rPr>
          <w:rFonts w:asciiTheme="majorHAnsi" w:hAnsiTheme="majorHAnsi" w:cstheme="majorHAnsi"/>
          <w:sz w:val="20"/>
          <w:szCs w:val="20"/>
        </w:rPr>
      </w:pPr>
      <w:r w:rsidRPr="00106E82">
        <w:rPr>
          <w:rFonts w:asciiTheme="majorHAnsi" w:hAnsiTheme="majorHAnsi" w:cstheme="majorHAnsi"/>
          <w:sz w:val="20"/>
          <w:szCs w:val="20"/>
        </w:rPr>
        <w:t xml:space="preserve">Organisers are encouraged to ensure that speakers are aware that the session will take place via Zoom and that speakers can access it via personal devices, if Zoom is blocked on their work devices. </w:t>
      </w:r>
    </w:p>
    <w:p w14:paraId="6F36A815" w14:textId="77777777" w:rsidR="00106E82" w:rsidRPr="00106E82" w:rsidRDefault="00106E82" w:rsidP="00106E82">
      <w:pPr>
        <w:autoSpaceDE w:val="0"/>
        <w:autoSpaceDN w:val="0"/>
        <w:adjustRightInd w:val="0"/>
        <w:jc w:val="both"/>
        <w:rPr>
          <w:rFonts w:asciiTheme="majorHAnsi" w:hAnsiTheme="majorHAnsi" w:cstheme="majorHAnsi"/>
          <w:sz w:val="20"/>
          <w:szCs w:val="20"/>
        </w:rPr>
      </w:pPr>
    </w:p>
    <w:p w14:paraId="522D3EB5" w14:textId="3F8B09C9" w:rsidR="00106E82" w:rsidRPr="00106E82" w:rsidRDefault="00106E82" w:rsidP="00106E82">
      <w:pPr>
        <w:pStyle w:val="ListParagraph"/>
        <w:numPr>
          <w:ilvl w:val="0"/>
          <w:numId w:val="4"/>
        </w:numPr>
        <w:autoSpaceDE w:val="0"/>
        <w:autoSpaceDN w:val="0"/>
        <w:adjustRightInd w:val="0"/>
        <w:jc w:val="both"/>
        <w:rPr>
          <w:rFonts w:ascii="AppleSystemUIFont" w:hAnsi="AppleSystemUIFont" w:cs="AppleSystemUIFont"/>
        </w:rPr>
      </w:pPr>
      <w:r w:rsidRPr="00106E82">
        <w:rPr>
          <w:rFonts w:asciiTheme="majorHAnsi" w:hAnsiTheme="majorHAnsi" w:cstheme="majorHAnsi"/>
          <w:sz w:val="20"/>
          <w:szCs w:val="20"/>
        </w:rPr>
        <w:t xml:space="preserve">Interpretation of further languages is available at an additional cost to the organiser. </w:t>
      </w:r>
      <w:r>
        <w:br w:type="page"/>
      </w:r>
    </w:p>
    <w:tbl>
      <w:tblPr>
        <w:tblStyle w:val="TableGrid"/>
        <w:tblpPr w:leftFromText="180" w:rightFromText="180" w:vertAnchor="page" w:horzAnchor="margin" w:tblpY="1831"/>
        <w:tblW w:w="0" w:type="auto"/>
        <w:tblLook w:val="04A0" w:firstRow="1" w:lastRow="0" w:firstColumn="1" w:lastColumn="0" w:noHBand="0" w:noVBand="1"/>
      </w:tblPr>
      <w:tblGrid>
        <w:gridCol w:w="3539"/>
        <w:gridCol w:w="5477"/>
      </w:tblGrid>
      <w:tr w:rsidR="00106E82" w:rsidRPr="00A74F31" w14:paraId="744D7B08" w14:textId="77777777" w:rsidTr="00106E82">
        <w:trPr>
          <w:trHeight w:val="841"/>
        </w:trPr>
        <w:tc>
          <w:tcPr>
            <w:tcW w:w="3539" w:type="dxa"/>
          </w:tcPr>
          <w:p w14:paraId="02610877" w14:textId="77777777"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lastRenderedPageBreak/>
              <w:t>Side event title</w:t>
            </w:r>
          </w:p>
        </w:tc>
        <w:tc>
          <w:tcPr>
            <w:tcW w:w="5477" w:type="dxa"/>
          </w:tcPr>
          <w:p w14:paraId="5F8E61DE" w14:textId="77777777" w:rsidR="00106E82" w:rsidRPr="00A74F31" w:rsidRDefault="00106E82" w:rsidP="00106E82">
            <w:pPr>
              <w:rPr>
                <w:rFonts w:asciiTheme="majorHAnsi" w:hAnsiTheme="majorHAnsi" w:cstheme="majorHAnsi"/>
                <w:sz w:val="20"/>
                <w:szCs w:val="20"/>
              </w:rPr>
            </w:pPr>
          </w:p>
        </w:tc>
      </w:tr>
      <w:tr w:rsidR="00106E82" w:rsidRPr="00A74F31" w14:paraId="7A274E94" w14:textId="77777777" w:rsidTr="00106E82">
        <w:trPr>
          <w:trHeight w:val="839"/>
        </w:trPr>
        <w:tc>
          <w:tcPr>
            <w:tcW w:w="3539" w:type="dxa"/>
          </w:tcPr>
          <w:p w14:paraId="5B75DCA3" w14:textId="77777777"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t>Name of organiser(s)</w:t>
            </w:r>
          </w:p>
        </w:tc>
        <w:tc>
          <w:tcPr>
            <w:tcW w:w="5477" w:type="dxa"/>
          </w:tcPr>
          <w:p w14:paraId="539E476F" w14:textId="77777777" w:rsidR="00106E82" w:rsidRPr="00A74F31" w:rsidRDefault="00106E82" w:rsidP="00106E82">
            <w:pPr>
              <w:rPr>
                <w:rFonts w:asciiTheme="majorHAnsi" w:hAnsiTheme="majorHAnsi" w:cstheme="majorHAnsi"/>
                <w:sz w:val="20"/>
                <w:szCs w:val="20"/>
              </w:rPr>
            </w:pPr>
          </w:p>
        </w:tc>
      </w:tr>
      <w:tr w:rsidR="00106E82" w:rsidRPr="00A74F31" w14:paraId="4EAE535D" w14:textId="77777777" w:rsidTr="00106E82">
        <w:trPr>
          <w:trHeight w:val="978"/>
        </w:trPr>
        <w:tc>
          <w:tcPr>
            <w:tcW w:w="3539" w:type="dxa"/>
          </w:tcPr>
          <w:p w14:paraId="50FE7B20" w14:textId="77777777"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t xml:space="preserve">Preference for a morning (09:00 UTC) or afternoon (15:00 UTC) slot </w:t>
            </w:r>
          </w:p>
        </w:tc>
        <w:tc>
          <w:tcPr>
            <w:tcW w:w="5477" w:type="dxa"/>
          </w:tcPr>
          <w:p w14:paraId="4DC6621A" w14:textId="77777777" w:rsidR="00106E82" w:rsidRPr="00A74F31" w:rsidRDefault="00106E82" w:rsidP="00106E82">
            <w:pPr>
              <w:rPr>
                <w:rFonts w:asciiTheme="majorHAnsi" w:hAnsiTheme="majorHAnsi" w:cstheme="majorHAnsi"/>
                <w:sz w:val="20"/>
                <w:szCs w:val="20"/>
              </w:rPr>
            </w:pPr>
          </w:p>
        </w:tc>
      </w:tr>
      <w:tr w:rsidR="00106E82" w:rsidRPr="00A74F31" w14:paraId="13F44203" w14:textId="77777777" w:rsidTr="00106E82">
        <w:trPr>
          <w:trHeight w:val="2976"/>
        </w:trPr>
        <w:tc>
          <w:tcPr>
            <w:tcW w:w="3539" w:type="dxa"/>
          </w:tcPr>
          <w:p w14:paraId="10C10169" w14:textId="542779D1"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t xml:space="preserve">Outline description of the side event, to be used in the online agenda (no more than </w:t>
            </w:r>
            <w:r w:rsidR="00D220B9">
              <w:rPr>
                <w:rFonts w:asciiTheme="majorHAnsi" w:hAnsiTheme="majorHAnsi" w:cstheme="majorHAnsi"/>
                <w:sz w:val="20"/>
                <w:szCs w:val="20"/>
              </w:rPr>
              <w:t>20</w:t>
            </w:r>
            <w:r w:rsidRPr="00A74F31">
              <w:rPr>
                <w:rFonts w:asciiTheme="majorHAnsi" w:hAnsiTheme="majorHAnsi" w:cstheme="majorHAnsi"/>
                <w:sz w:val="20"/>
                <w:szCs w:val="20"/>
              </w:rPr>
              <w:t>0 words)</w:t>
            </w:r>
          </w:p>
        </w:tc>
        <w:tc>
          <w:tcPr>
            <w:tcW w:w="5477" w:type="dxa"/>
          </w:tcPr>
          <w:p w14:paraId="575FDED4" w14:textId="77777777" w:rsidR="00106E82" w:rsidRPr="00A74F31" w:rsidRDefault="00106E82" w:rsidP="00106E82">
            <w:pPr>
              <w:rPr>
                <w:rFonts w:asciiTheme="majorHAnsi" w:hAnsiTheme="majorHAnsi" w:cstheme="majorHAnsi"/>
                <w:sz w:val="20"/>
                <w:szCs w:val="20"/>
              </w:rPr>
            </w:pPr>
          </w:p>
        </w:tc>
      </w:tr>
      <w:tr w:rsidR="00106E82" w:rsidRPr="00A74F31" w14:paraId="16EAC42D" w14:textId="77777777" w:rsidTr="00106E82">
        <w:trPr>
          <w:trHeight w:val="3093"/>
        </w:trPr>
        <w:tc>
          <w:tcPr>
            <w:tcW w:w="3539" w:type="dxa"/>
          </w:tcPr>
          <w:p w14:paraId="1C951C26" w14:textId="77777777"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t>Indicative list speakers</w:t>
            </w:r>
          </w:p>
        </w:tc>
        <w:tc>
          <w:tcPr>
            <w:tcW w:w="5477" w:type="dxa"/>
          </w:tcPr>
          <w:p w14:paraId="1F6593FB" w14:textId="77777777" w:rsidR="00106E82" w:rsidRPr="00A74F31" w:rsidRDefault="00106E82" w:rsidP="00106E82">
            <w:pPr>
              <w:rPr>
                <w:rFonts w:asciiTheme="majorHAnsi" w:hAnsiTheme="majorHAnsi" w:cstheme="majorHAnsi"/>
                <w:sz w:val="20"/>
                <w:szCs w:val="20"/>
              </w:rPr>
            </w:pPr>
          </w:p>
        </w:tc>
      </w:tr>
      <w:tr w:rsidR="00106E82" w:rsidRPr="00A74F31" w14:paraId="1B522BC4" w14:textId="77777777" w:rsidTr="00106E82">
        <w:trPr>
          <w:trHeight w:val="832"/>
        </w:trPr>
        <w:tc>
          <w:tcPr>
            <w:tcW w:w="3539" w:type="dxa"/>
          </w:tcPr>
          <w:p w14:paraId="4774AA78" w14:textId="2F148A04" w:rsidR="00106E82" w:rsidRPr="00A74F31" w:rsidRDefault="00D220B9" w:rsidP="00106E82">
            <w:pPr>
              <w:rPr>
                <w:rFonts w:asciiTheme="majorHAnsi" w:hAnsiTheme="majorHAnsi" w:cstheme="majorHAnsi"/>
                <w:sz w:val="20"/>
                <w:szCs w:val="20"/>
              </w:rPr>
            </w:pPr>
            <w:r>
              <w:rPr>
                <w:rFonts w:asciiTheme="majorHAnsi" w:hAnsiTheme="majorHAnsi" w:cstheme="majorHAnsi"/>
                <w:sz w:val="20"/>
                <w:szCs w:val="20"/>
              </w:rPr>
              <w:t>Preferred l</w:t>
            </w:r>
            <w:r w:rsidR="00106E82" w:rsidRPr="00A74F31">
              <w:rPr>
                <w:rFonts w:asciiTheme="majorHAnsi" w:hAnsiTheme="majorHAnsi" w:cstheme="majorHAnsi"/>
                <w:sz w:val="20"/>
                <w:szCs w:val="20"/>
              </w:rPr>
              <w:t>anguage pair</w:t>
            </w:r>
            <w:r>
              <w:rPr>
                <w:rFonts w:asciiTheme="majorHAnsi" w:hAnsiTheme="majorHAnsi" w:cstheme="majorHAnsi"/>
                <w:sz w:val="20"/>
                <w:szCs w:val="20"/>
              </w:rPr>
              <w:t xml:space="preserve"> (from English, Arabic, French, Spanish)</w:t>
            </w:r>
          </w:p>
        </w:tc>
        <w:tc>
          <w:tcPr>
            <w:tcW w:w="5477" w:type="dxa"/>
          </w:tcPr>
          <w:p w14:paraId="61BC994E" w14:textId="77777777" w:rsidR="00106E82" w:rsidRPr="00A74F31" w:rsidRDefault="00106E82" w:rsidP="00106E82">
            <w:pPr>
              <w:rPr>
                <w:rFonts w:asciiTheme="majorHAnsi" w:hAnsiTheme="majorHAnsi" w:cstheme="majorHAnsi"/>
                <w:sz w:val="20"/>
                <w:szCs w:val="20"/>
              </w:rPr>
            </w:pPr>
          </w:p>
        </w:tc>
      </w:tr>
      <w:tr w:rsidR="00106E82" w:rsidRPr="00A74F31" w14:paraId="7F4EA18A" w14:textId="77777777" w:rsidTr="00106E82">
        <w:trPr>
          <w:trHeight w:val="852"/>
        </w:trPr>
        <w:tc>
          <w:tcPr>
            <w:tcW w:w="3539" w:type="dxa"/>
          </w:tcPr>
          <w:p w14:paraId="3A65BD4B" w14:textId="1998B59B" w:rsidR="00106E82" w:rsidRPr="00A74F31" w:rsidRDefault="00106E82" w:rsidP="00106E82">
            <w:pPr>
              <w:rPr>
                <w:rFonts w:asciiTheme="majorHAnsi" w:hAnsiTheme="majorHAnsi" w:cstheme="majorHAnsi"/>
                <w:sz w:val="20"/>
                <w:szCs w:val="20"/>
              </w:rPr>
            </w:pPr>
            <w:r w:rsidRPr="00A74F31">
              <w:rPr>
                <w:rFonts w:asciiTheme="majorHAnsi" w:hAnsiTheme="majorHAnsi" w:cstheme="majorHAnsi"/>
                <w:sz w:val="20"/>
                <w:szCs w:val="20"/>
              </w:rPr>
              <w:t>Additional languages (at organiser</w:t>
            </w:r>
            <w:r w:rsidR="008704E8">
              <w:rPr>
                <w:rFonts w:asciiTheme="majorHAnsi" w:hAnsiTheme="majorHAnsi" w:cstheme="majorHAnsi"/>
                <w:sz w:val="20"/>
                <w:szCs w:val="20"/>
              </w:rPr>
              <w:t>’</w:t>
            </w:r>
            <w:r w:rsidRPr="00A74F31">
              <w:rPr>
                <w:rFonts w:asciiTheme="majorHAnsi" w:hAnsiTheme="majorHAnsi" w:cstheme="majorHAnsi"/>
                <w:sz w:val="20"/>
                <w:szCs w:val="20"/>
              </w:rPr>
              <w:t>s expense)</w:t>
            </w:r>
          </w:p>
        </w:tc>
        <w:tc>
          <w:tcPr>
            <w:tcW w:w="5477" w:type="dxa"/>
          </w:tcPr>
          <w:p w14:paraId="6C1BBDD6" w14:textId="77777777" w:rsidR="00106E82" w:rsidRPr="00A74F31" w:rsidRDefault="00106E82" w:rsidP="00106E82">
            <w:pPr>
              <w:rPr>
                <w:rFonts w:asciiTheme="majorHAnsi" w:hAnsiTheme="majorHAnsi" w:cstheme="majorHAnsi"/>
                <w:sz w:val="20"/>
                <w:szCs w:val="20"/>
              </w:rPr>
            </w:pPr>
          </w:p>
        </w:tc>
      </w:tr>
    </w:tbl>
    <w:p w14:paraId="0AFD436B" w14:textId="77777777" w:rsidR="00106E82" w:rsidRDefault="00106E82"/>
    <w:sectPr w:rsidR="00106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4A7678"/>
    <w:multiLevelType w:val="hybridMultilevel"/>
    <w:tmpl w:val="3D623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BF02A1"/>
    <w:multiLevelType w:val="hybridMultilevel"/>
    <w:tmpl w:val="B394D64E"/>
    <w:lvl w:ilvl="0" w:tplc="EF0C25C6">
      <w:start w:val="1"/>
      <w:numFmt w:val="lowerRoman"/>
      <w:lvlText w:val="%1."/>
      <w:lvlJc w:val="left"/>
      <w:pPr>
        <w:ind w:left="1080" w:hanging="720"/>
      </w:pPr>
      <w:rPr>
        <w:rFonts w:asciiTheme="majorHAnsi" w:hAnsiTheme="majorHAnsi" w:cstheme="maj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520D5"/>
    <w:multiLevelType w:val="hybridMultilevel"/>
    <w:tmpl w:val="84F88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F3"/>
    <w:rsid w:val="00106E82"/>
    <w:rsid w:val="00325DB8"/>
    <w:rsid w:val="004D64A3"/>
    <w:rsid w:val="005477D6"/>
    <w:rsid w:val="006F6516"/>
    <w:rsid w:val="008704E8"/>
    <w:rsid w:val="0090320B"/>
    <w:rsid w:val="009B31F3"/>
    <w:rsid w:val="009D51C8"/>
    <w:rsid w:val="00A74F31"/>
    <w:rsid w:val="00C57489"/>
    <w:rsid w:val="00D220B9"/>
    <w:rsid w:val="00E1468E"/>
    <w:rsid w:val="00EA2F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12C3"/>
  <w15:chartTrackingRefBased/>
  <w15:docId w15:val="{33FD1C5E-D5E0-F54F-9B26-83F173DC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E82"/>
    <w:rPr>
      <w:color w:val="0563C1" w:themeColor="hyperlink"/>
      <w:u w:val="single"/>
    </w:rPr>
  </w:style>
  <w:style w:type="character" w:customStyle="1" w:styleId="UnresolvedMention1">
    <w:name w:val="Unresolved Mention1"/>
    <w:basedOn w:val="DefaultParagraphFont"/>
    <w:uiPriority w:val="99"/>
    <w:semiHidden/>
    <w:unhideWhenUsed/>
    <w:rsid w:val="00106E82"/>
    <w:rPr>
      <w:color w:val="605E5C"/>
      <w:shd w:val="clear" w:color="auto" w:fill="E1DFDD"/>
    </w:rPr>
  </w:style>
  <w:style w:type="paragraph" w:styleId="ListParagraph">
    <w:name w:val="List Paragraph"/>
    <w:basedOn w:val="Normal"/>
    <w:uiPriority w:val="34"/>
    <w:qFormat/>
    <w:rsid w:val="0010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unit@gf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Miskin</dc:creator>
  <cp:keywords/>
  <dc:description/>
  <cp:lastModifiedBy>SAADE Camille</cp:lastModifiedBy>
  <cp:revision>3</cp:revision>
  <dcterms:created xsi:type="dcterms:W3CDTF">2020-11-19T15:03:00Z</dcterms:created>
  <dcterms:modified xsi:type="dcterms:W3CDTF">2020-12-10T11:25:00Z</dcterms:modified>
</cp:coreProperties>
</file>