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14" w:rsidRDefault="00701B14" w:rsidP="0068109F">
      <w:pPr>
        <w:jc w:val="center"/>
        <w:rPr>
          <w:b/>
          <w:bCs/>
          <w:sz w:val="24"/>
          <w:szCs w:val="24"/>
        </w:rPr>
      </w:pPr>
    </w:p>
    <w:p w:rsidR="00A91D01" w:rsidRDefault="00990407" w:rsidP="0068109F">
      <w:pPr>
        <w:jc w:val="center"/>
        <w:rPr>
          <w:b/>
          <w:bCs/>
          <w:sz w:val="24"/>
          <w:szCs w:val="24"/>
        </w:rPr>
      </w:pPr>
      <w:r w:rsidRPr="001116EE">
        <w:rPr>
          <w:b/>
          <w:bCs/>
          <w:sz w:val="24"/>
          <w:szCs w:val="24"/>
        </w:rPr>
        <w:t xml:space="preserve">Relevant </w:t>
      </w:r>
      <w:r w:rsidR="000C2BB2" w:rsidRPr="001116EE">
        <w:rPr>
          <w:b/>
          <w:bCs/>
          <w:sz w:val="24"/>
          <w:szCs w:val="24"/>
        </w:rPr>
        <w:t>Processes, P</w:t>
      </w:r>
      <w:r w:rsidRPr="001116EE">
        <w:rPr>
          <w:b/>
          <w:bCs/>
          <w:sz w:val="24"/>
          <w:szCs w:val="24"/>
        </w:rPr>
        <w:t>latforms</w:t>
      </w:r>
      <w:r w:rsidR="000C2BB2" w:rsidRPr="001116EE">
        <w:rPr>
          <w:b/>
          <w:bCs/>
          <w:sz w:val="24"/>
          <w:szCs w:val="24"/>
        </w:rPr>
        <w:t xml:space="preserve"> and Campaigns</w:t>
      </w:r>
      <w:r w:rsidR="00BB4603" w:rsidRPr="001116EE">
        <w:rPr>
          <w:b/>
          <w:bCs/>
          <w:sz w:val="24"/>
          <w:szCs w:val="24"/>
        </w:rPr>
        <w:t xml:space="preserve"> on Migration and Development</w:t>
      </w:r>
    </w:p>
    <w:p w:rsidR="00701B14" w:rsidRDefault="00701B14" w:rsidP="0068109F">
      <w:pPr>
        <w:jc w:val="center"/>
        <w:rPr>
          <w:b/>
          <w:bCs/>
          <w:sz w:val="24"/>
          <w:szCs w:val="24"/>
        </w:rPr>
      </w:pPr>
    </w:p>
    <w:tbl>
      <w:tblPr>
        <w:tblStyle w:val="TableGrid"/>
        <w:tblW w:w="14310" w:type="dxa"/>
        <w:tblInd w:w="-545" w:type="dxa"/>
        <w:tblLayout w:type="fixed"/>
        <w:tblLook w:val="04A0" w:firstRow="1" w:lastRow="0" w:firstColumn="1" w:lastColumn="0" w:noHBand="0" w:noVBand="1"/>
      </w:tblPr>
      <w:tblGrid>
        <w:gridCol w:w="2520"/>
        <w:gridCol w:w="1620"/>
        <w:gridCol w:w="7110"/>
        <w:gridCol w:w="3060"/>
      </w:tblGrid>
      <w:tr w:rsidR="000C2BB2" w:rsidRPr="00EF1577" w:rsidTr="001116EE">
        <w:trPr>
          <w:trHeight w:val="701"/>
        </w:trPr>
        <w:tc>
          <w:tcPr>
            <w:tcW w:w="2520" w:type="dxa"/>
            <w:shd w:val="clear" w:color="auto" w:fill="D9E2F3" w:themeFill="accent1" w:themeFillTint="33"/>
          </w:tcPr>
          <w:p w:rsidR="001116EE" w:rsidRPr="001116EE" w:rsidRDefault="000C2BB2" w:rsidP="001116EE">
            <w:pPr>
              <w:jc w:val="center"/>
              <w:rPr>
                <w:b/>
                <w:bCs/>
                <w:sz w:val="20"/>
                <w:szCs w:val="20"/>
              </w:rPr>
            </w:pPr>
            <w:r w:rsidRPr="001116EE">
              <w:rPr>
                <w:b/>
                <w:bCs/>
                <w:sz w:val="20"/>
                <w:szCs w:val="20"/>
              </w:rPr>
              <w:t xml:space="preserve">Process and </w:t>
            </w:r>
            <w:r w:rsidR="001116EE" w:rsidRPr="001116EE">
              <w:rPr>
                <w:b/>
                <w:bCs/>
                <w:sz w:val="20"/>
                <w:szCs w:val="20"/>
              </w:rPr>
              <w:t>Online Platforms</w:t>
            </w:r>
          </w:p>
        </w:tc>
        <w:tc>
          <w:tcPr>
            <w:tcW w:w="1620" w:type="dxa"/>
            <w:shd w:val="clear" w:color="auto" w:fill="D9E2F3" w:themeFill="accent1" w:themeFillTint="33"/>
          </w:tcPr>
          <w:p w:rsidR="000C2BB2" w:rsidRPr="001116EE" w:rsidRDefault="000C2BB2" w:rsidP="001116EE">
            <w:pPr>
              <w:jc w:val="center"/>
              <w:rPr>
                <w:b/>
                <w:bCs/>
                <w:sz w:val="20"/>
                <w:szCs w:val="20"/>
              </w:rPr>
            </w:pPr>
            <w:r w:rsidRPr="001116EE">
              <w:rPr>
                <w:b/>
                <w:bCs/>
                <w:sz w:val="20"/>
                <w:szCs w:val="20"/>
              </w:rPr>
              <w:t>Scope</w:t>
            </w:r>
          </w:p>
        </w:tc>
        <w:tc>
          <w:tcPr>
            <w:tcW w:w="7110" w:type="dxa"/>
            <w:shd w:val="clear" w:color="auto" w:fill="D9E2F3" w:themeFill="accent1" w:themeFillTint="33"/>
          </w:tcPr>
          <w:p w:rsidR="000C2BB2" w:rsidRPr="001116EE" w:rsidRDefault="000C2BB2" w:rsidP="001116EE">
            <w:pPr>
              <w:jc w:val="center"/>
              <w:rPr>
                <w:b/>
                <w:bCs/>
                <w:sz w:val="20"/>
                <w:szCs w:val="20"/>
              </w:rPr>
            </w:pPr>
            <w:r w:rsidRPr="001116EE">
              <w:rPr>
                <w:b/>
                <w:bCs/>
                <w:sz w:val="20"/>
                <w:szCs w:val="20"/>
              </w:rPr>
              <w:t>Description</w:t>
            </w:r>
          </w:p>
          <w:p w:rsidR="000C2BB2" w:rsidRPr="001116EE" w:rsidRDefault="000C2BB2" w:rsidP="001116EE">
            <w:pPr>
              <w:jc w:val="center"/>
              <w:rPr>
                <w:b/>
                <w:bCs/>
                <w:sz w:val="20"/>
                <w:szCs w:val="20"/>
              </w:rPr>
            </w:pPr>
          </w:p>
        </w:tc>
        <w:tc>
          <w:tcPr>
            <w:tcW w:w="3060" w:type="dxa"/>
            <w:shd w:val="clear" w:color="auto" w:fill="D9E2F3" w:themeFill="accent1" w:themeFillTint="33"/>
          </w:tcPr>
          <w:p w:rsidR="000C2BB2" w:rsidRPr="001116EE" w:rsidRDefault="000C2BB2" w:rsidP="001116EE">
            <w:pPr>
              <w:jc w:val="center"/>
              <w:rPr>
                <w:b/>
                <w:bCs/>
                <w:sz w:val="20"/>
                <w:szCs w:val="20"/>
              </w:rPr>
            </w:pPr>
            <w:r w:rsidRPr="001116EE">
              <w:rPr>
                <w:b/>
                <w:bCs/>
                <w:sz w:val="20"/>
                <w:szCs w:val="20"/>
              </w:rPr>
              <w:t>Online References</w:t>
            </w:r>
          </w:p>
          <w:p w:rsidR="000C2BB2" w:rsidRPr="001116EE" w:rsidRDefault="000C2BB2" w:rsidP="001116EE">
            <w:pPr>
              <w:jc w:val="center"/>
              <w:rPr>
                <w:b/>
                <w:bCs/>
                <w:sz w:val="20"/>
                <w:szCs w:val="20"/>
              </w:rPr>
            </w:pPr>
          </w:p>
        </w:tc>
      </w:tr>
      <w:tr w:rsidR="000C2BB2" w:rsidRPr="00EF1577" w:rsidTr="001116EE">
        <w:tc>
          <w:tcPr>
            <w:tcW w:w="2520" w:type="dxa"/>
          </w:tcPr>
          <w:p w:rsidR="000C2BB2" w:rsidRPr="00EF1577" w:rsidRDefault="000C2BB2" w:rsidP="005F129A">
            <w:pPr>
              <w:pStyle w:val="ListParagraph"/>
              <w:numPr>
                <w:ilvl w:val="0"/>
                <w:numId w:val="1"/>
              </w:numPr>
              <w:ind w:left="429"/>
              <w:rPr>
                <w:sz w:val="20"/>
                <w:szCs w:val="20"/>
              </w:rPr>
            </w:pPr>
            <w:r w:rsidRPr="00EF1577">
              <w:rPr>
                <w:sz w:val="20"/>
                <w:szCs w:val="20"/>
              </w:rPr>
              <w:t>Migration Data Portal</w:t>
            </w:r>
          </w:p>
        </w:tc>
        <w:tc>
          <w:tcPr>
            <w:tcW w:w="1620" w:type="dxa"/>
          </w:tcPr>
          <w:p w:rsidR="000C2BB2" w:rsidRPr="00EF1577" w:rsidRDefault="000C2BB2">
            <w:pPr>
              <w:rPr>
                <w:sz w:val="20"/>
                <w:szCs w:val="20"/>
              </w:rPr>
            </w:pPr>
            <w:r>
              <w:rPr>
                <w:sz w:val="20"/>
                <w:szCs w:val="20"/>
              </w:rPr>
              <w:t>Global</w:t>
            </w:r>
          </w:p>
        </w:tc>
        <w:tc>
          <w:tcPr>
            <w:tcW w:w="7110" w:type="dxa"/>
          </w:tcPr>
          <w:p w:rsidR="000C2BB2" w:rsidRPr="00EF1577" w:rsidRDefault="000C2BB2">
            <w:pPr>
              <w:rPr>
                <w:sz w:val="20"/>
                <w:szCs w:val="20"/>
              </w:rPr>
            </w:pPr>
            <w:r w:rsidRPr="00EF1577">
              <w:rPr>
                <w:sz w:val="20"/>
                <w:szCs w:val="20"/>
              </w:rPr>
              <w:t>The Portal aims to serve as a unique access point to timely, comprehensive migration statistics and reliable information about migration data globally. The site is designed to help policy makers, national statistics officers, journalists and the general public interested in the field of migration to navigate the increasingly complex landscape of international migration data, currently scattered across different organisations and agencies.</w:t>
            </w:r>
          </w:p>
        </w:tc>
        <w:tc>
          <w:tcPr>
            <w:tcW w:w="3060" w:type="dxa"/>
          </w:tcPr>
          <w:p w:rsidR="000C2BB2" w:rsidRPr="00EF1577" w:rsidRDefault="000C2BB2">
            <w:pPr>
              <w:rPr>
                <w:sz w:val="20"/>
                <w:szCs w:val="20"/>
              </w:rPr>
            </w:pPr>
            <w:hyperlink r:id="rId5" w:history="1">
              <w:r w:rsidRPr="00EF1577">
                <w:rPr>
                  <w:rStyle w:val="Hyperlink"/>
                  <w:sz w:val="20"/>
                  <w:szCs w:val="20"/>
                </w:rPr>
                <w:t>https://twitter.com/iom_gmdac</w:t>
              </w:r>
            </w:hyperlink>
          </w:p>
          <w:p w:rsidR="000C2BB2" w:rsidRPr="00EF1577" w:rsidRDefault="000C2BB2">
            <w:pPr>
              <w:rPr>
                <w:sz w:val="20"/>
                <w:szCs w:val="20"/>
              </w:rPr>
            </w:pPr>
            <w:hyperlink r:id="rId6" w:history="1">
              <w:r w:rsidRPr="00EF1577">
                <w:rPr>
                  <w:rStyle w:val="Hyperlink"/>
                  <w:sz w:val="20"/>
                  <w:szCs w:val="20"/>
                </w:rPr>
                <w:t>https://migrationdataportal.org/about</w:t>
              </w:r>
            </w:hyperlink>
          </w:p>
          <w:p w:rsidR="000C2BB2" w:rsidRPr="00EF1577" w:rsidRDefault="000C2BB2" w:rsidP="0068109F">
            <w:pPr>
              <w:rPr>
                <w:sz w:val="20"/>
                <w:szCs w:val="20"/>
              </w:rPr>
            </w:pPr>
            <w:hyperlink r:id="rId7" w:history="1">
              <w:r w:rsidRPr="00EF1577">
                <w:rPr>
                  <w:rStyle w:val="Hyperlink"/>
                  <w:sz w:val="20"/>
                  <w:szCs w:val="20"/>
                </w:rPr>
                <w:t>www.facebook.com/migrationdataportal</w:t>
              </w:r>
            </w:hyperlink>
          </w:p>
          <w:p w:rsidR="000C2BB2" w:rsidRPr="00EF1577" w:rsidRDefault="000C2BB2">
            <w:pPr>
              <w:rPr>
                <w:sz w:val="20"/>
                <w:szCs w:val="20"/>
              </w:rPr>
            </w:pPr>
          </w:p>
        </w:tc>
      </w:tr>
      <w:tr w:rsidR="000C2BB2" w:rsidRPr="00EF1577" w:rsidTr="001116EE">
        <w:tc>
          <w:tcPr>
            <w:tcW w:w="2520" w:type="dxa"/>
          </w:tcPr>
          <w:p w:rsidR="000C2BB2" w:rsidRPr="00EF1577" w:rsidRDefault="000C2BB2" w:rsidP="005F129A">
            <w:pPr>
              <w:pStyle w:val="ListParagraph"/>
              <w:numPr>
                <w:ilvl w:val="0"/>
                <w:numId w:val="1"/>
              </w:numPr>
              <w:ind w:left="429"/>
              <w:rPr>
                <w:sz w:val="20"/>
                <w:szCs w:val="20"/>
              </w:rPr>
            </w:pPr>
            <w:r w:rsidRPr="00EF1577">
              <w:rPr>
                <w:sz w:val="20"/>
                <w:szCs w:val="20"/>
              </w:rPr>
              <w:t>Online Migration in Countries in Crisis (MICIC) Repository of Practices</w:t>
            </w:r>
          </w:p>
        </w:tc>
        <w:tc>
          <w:tcPr>
            <w:tcW w:w="1620" w:type="dxa"/>
          </w:tcPr>
          <w:p w:rsidR="000C2BB2" w:rsidRPr="00EF1577" w:rsidRDefault="000C2BB2">
            <w:pPr>
              <w:rPr>
                <w:sz w:val="20"/>
                <w:szCs w:val="20"/>
              </w:rPr>
            </w:pPr>
            <w:r>
              <w:rPr>
                <w:sz w:val="20"/>
                <w:szCs w:val="20"/>
              </w:rPr>
              <w:t>Global</w:t>
            </w:r>
          </w:p>
        </w:tc>
        <w:tc>
          <w:tcPr>
            <w:tcW w:w="7110" w:type="dxa"/>
          </w:tcPr>
          <w:p w:rsidR="000C2BB2" w:rsidRPr="00EF1577" w:rsidRDefault="000C2BB2">
            <w:pPr>
              <w:rPr>
                <w:sz w:val="20"/>
                <w:szCs w:val="20"/>
              </w:rPr>
            </w:pPr>
            <w:r w:rsidRPr="00EF1577">
              <w:rPr>
                <w:sz w:val="20"/>
                <w:szCs w:val="20"/>
              </w:rPr>
              <w:t>The online MICIC repository of practices supplements the Guidelines to Protect Migrants in Countries Experiencing Conflict or Natural Disaster. It comprises existing practices of States, international organizations, private sector actors, and civil society. The practices are illustrative of actions undertaken by these stakeholders and relate to migrants in the context of conflicts or natural disasters.</w:t>
            </w:r>
          </w:p>
        </w:tc>
        <w:tc>
          <w:tcPr>
            <w:tcW w:w="3060" w:type="dxa"/>
          </w:tcPr>
          <w:p w:rsidR="000C2BB2" w:rsidRPr="00EF1577" w:rsidRDefault="000C2BB2" w:rsidP="005F129A">
            <w:pPr>
              <w:rPr>
                <w:sz w:val="20"/>
                <w:szCs w:val="20"/>
              </w:rPr>
            </w:pPr>
            <w:hyperlink r:id="rId8" w:history="1">
              <w:r w:rsidRPr="00EF1577">
                <w:rPr>
                  <w:rStyle w:val="Hyperlink"/>
                  <w:sz w:val="20"/>
                  <w:szCs w:val="20"/>
                </w:rPr>
                <w:t>https://micicinitiative.iom.int/repository-practices</w:t>
              </w:r>
            </w:hyperlink>
          </w:p>
          <w:p w:rsidR="000C2BB2" w:rsidRPr="00EF1577" w:rsidRDefault="000C2BB2">
            <w:pPr>
              <w:rPr>
                <w:sz w:val="20"/>
                <w:szCs w:val="20"/>
              </w:rPr>
            </w:pPr>
            <w:hyperlink r:id="rId9" w:history="1">
              <w:r w:rsidRPr="00EF1577">
                <w:rPr>
                  <w:rStyle w:val="Hyperlink"/>
                  <w:sz w:val="20"/>
                  <w:szCs w:val="20"/>
                </w:rPr>
                <w:t>https://micicinitiative.iom.int/about-micic/approach</w:t>
              </w:r>
            </w:hyperlink>
          </w:p>
          <w:p w:rsidR="000C2BB2" w:rsidRPr="00EF1577" w:rsidRDefault="000C2BB2">
            <w:pPr>
              <w:rPr>
                <w:sz w:val="20"/>
                <w:szCs w:val="20"/>
              </w:rPr>
            </w:pPr>
          </w:p>
        </w:tc>
      </w:tr>
      <w:tr w:rsidR="000C2BB2" w:rsidRPr="00EF1577" w:rsidTr="001116EE">
        <w:tc>
          <w:tcPr>
            <w:tcW w:w="2520" w:type="dxa"/>
          </w:tcPr>
          <w:p w:rsidR="000C2BB2" w:rsidRPr="00EF1577" w:rsidRDefault="000C2BB2" w:rsidP="005F129A">
            <w:pPr>
              <w:pStyle w:val="ListParagraph"/>
              <w:numPr>
                <w:ilvl w:val="0"/>
                <w:numId w:val="1"/>
              </w:numPr>
              <w:ind w:left="429"/>
              <w:rPr>
                <w:sz w:val="20"/>
                <w:szCs w:val="20"/>
              </w:rPr>
            </w:pPr>
            <w:r w:rsidRPr="00EF1577">
              <w:rPr>
                <w:sz w:val="20"/>
                <w:szCs w:val="20"/>
              </w:rPr>
              <w:t>Joint Migration and Development Initiative (JMDI)</w:t>
            </w:r>
          </w:p>
        </w:tc>
        <w:tc>
          <w:tcPr>
            <w:tcW w:w="1620" w:type="dxa"/>
          </w:tcPr>
          <w:p w:rsidR="000C2BB2" w:rsidRPr="00EF1577" w:rsidRDefault="000C2BB2">
            <w:pPr>
              <w:rPr>
                <w:sz w:val="20"/>
                <w:szCs w:val="20"/>
              </w:rPr>
            </w:pPr>
            <w:r>
              <w:rPr>
                <w:sz w:val="20"/>
                <w:szCs w:val="20"/>
              </w:rPr>
              <w:t>Global</w:t>
            </w:r>
          </w:p>
        </w:tc>
        <w:tc>
          <w:tcPr>
            <w:tcW w:w="7110" w:type="dxa"/>
          </w:tcPr>
          <w:p w:rsidR="000C2BB2" w:rsidRPr="00EF1577" w:rsidRDefault="000C2BB2">
            <w:pPr>
              <w:rPr>
                <w:sz w:val="20"/>
                <w:szCs w:val="20"/>
              </w:rPr>
            </w:pPr>
            <w:r w:rsidRPr="00EF1577">
              <w:rPr>
                <w:sz w:val="20"/>
                <w:szCs w:val="20"/>
              </w:rPr>
              <w:t>The Joint Migration and Development Initiative (JMDI) reflects the acceptance of and growing interest in the strong links between Migration and Development (M&amp;D) and aims to support M&amp;D actors to effectively harness the potential of migration for development. The programme is implemented by UNDP and five agencies, ILO, UNHCR, UNFPA and UN Women contribute to the programme with their institutional knowledge, expertise and extensive networks to ensure its success.</w:t>
            </w:r>
          </w:p>
        </w:tc>
        <w:tc>
          <w:tcPr>
            <w:tcW w:w="3060" w:type="dxa"/>
          </w:tcPr>
          <w:p w:rsidR="000C2BB2" w:rsidRPr="00EF1577" w:rsidRDefault="000C2BB2">
            <w:pPr>
              <w:rPr>
                <w:sz w:val="20"/>
                <w:szCs w:val="20"/>
              </w:rPr>
            </w:pPr>
            <w:hyperlink r:id="rId10" w:history="1">
              <w:r w:rsidRPr="00EF1577">
                <w:rPr>
                  <w:rStyle w:val="Hyperlink"/>
                  <w:sz w:val="20"/>
                  <w:szCs w:val="20"/>
                </w:rPr>
                <w:t>http://www.migration4development.org/en</w:t>
              </w:r>
            </w:hyperlink>
          </w:p>
          <w:p w:rsidR="000C2BB2" w:rsidRPr="00EF1577" w:rsidRDefault="000C2BB2">
            <w:pPr>
              <w:rPr>
                <w:sz w:val="20"/>
                <w:szCs w:val="20"/>
              </w:rPr>
            </w:pPr>
            <w:hyperlink r:id="rId11" w:history="1">
              <w:r w:rsidRPr="00EF1577">
                <w:rPr>
                  <w:rStyle w:val="Hyperlink"/>
                  <w:sz w:val="20"/>
                  <w:szCs w:val="20"/>
                </w:rPr>
                <w:t>https://www.facebook.com/JMDI.M4D/</w:t>
              </w:r>
            </w:hyperlink>
          </w:p>
          <w:p w:rsidR="000C2BB2" w:rsidRPr="00EF1577" w:rsidRDefault="000C2BB2">
            <w:pPr>
              <w:rPr>
                <w:sz w:val="20"/>
                <w:szCs w:val="20"/>
              </w:rPr>
            </w:pPr>
            <w:hyperlink r:id="rId12" w:history="1">
              <w:r w:rsidRPr="00EF1577">
                <w:rPr>
                  <w:rStyle w:val="Hyperlink"/>
                  <w:sz w:val="20"/>
                  <w:szCs w:val="20"/>
                </w:rPr>
                <w:t>https://twitter.com/JMDI_M4D</w:t>
              </w:r>
            </w:hyperlink>
          </w:p>
          <w:p w:rsidR="000C2BB2" w:rsidRPr="00EF1577" w:rsidRDefault="000C2BB2">
            <w:pPr>
              <w:rPr>
                <w:sz w:val="20"/>
                <w:szCs w:val="20"/>
              </w:rPr>
            </w:pPr>
          </w:p>
        </w:tc>
      </w:tr>
      <w:tr w:rsidR="000C2BB2" w:rsidRPr="00EF1577" w:rsidTr="001116EE">
        <w:tc>
          <w:tcPr>
            <w:tcW w:w="2520" w:type="dxa"/>
          </w:tcPr>
          <w:p w:rsidR="000C2BB2" w:rsidRPr="00EF1577" w:rsidRDefault="000C2BB2" w:rsidP="005F129A">
            <w:pPr>
              <w:pStyle w:val="ListParagraph"/>
              <w:numPr>
                <w:ilvl w:val="0"/>
                <w:numId w:val="1"/>
              </w:numPr>
              <w:ind w:left="429"/>
              <w:rPr>
                <w:sz w:val="20"/>
                <w:szCs w:val="20"/>
              </w:rPr>
            </w:pPr>
            <w:r w:rsidRPr="00EF1577">
              <w:rPr>
                <w:sz w:val="20"/>
                <w:szCs w:val="20"/>
              </w:rPr>
              <w:t>UN4RefugeesMigrants</w:t>
            </w:r>
          </w:p>
        </w:tc>
        <w:tc>
          <w:tcPr>
            <w:tcW w:w="1620" w:type="dxa"/>
          </w:tcPr>
          <w:p w:rsidR="000C2BB2" w:rsidRPr="00EF1577" w:rsidRDefault="000C2BB2" w:rsidP="00D92342">
            <w:pPr>
              <w:rPr>
                <w:sz w:val="20"/>
                <w:szCs w:val="20"/>
              </w:rPr>
            </w:pPr>
            <w:r>
              <w:rPr>
                <w:sz w:val="20"/>
                <w:szCs w:val="20"/>
              </w:rPr>
              <w:t>Global</w:t>
            </w:r>
          </w:p>
        </w:tc>
        <w:tc>
          <w:tcPr>
            <w:tcW w:w="7110" w:type="dxa"/>
          </w:tcPr>
          <w:p w:rsidR="000C2BB2" w:rsidRPr="00EF1577" w:rsidRDefault="000C2BB2" w:rsidP="00D92342">
            <w:pPr>
              <w:rPr>
                <w:sz w:val="20"/>
                <w:szCs w:val="20"/>
              </w:rPr>
            </w:pPr>
            <w:r w:rsidRPr="00EF1577">
              <w:rPr>
                <w:sz w:val="20"/>
                <w:szCs w:val="20"/>
              </w:rPr>
              <w:t>This website offers a comprehensive overview of all types of information concerning movement of Refugees and Migrants. Going from awareness campaigns to resolutions and conventions. Tools on the website are interactive (video’s, graphics, stories) and numerous.</w:t>
            </w:r>
            <w:r w:rsidRPr="00EF1577">
              <w:rPr>
                <w:sz w:val="20"/>
                <w:szCs w:val="20"/>
              </w:rPr>
              <w:t xml:space="preserve"> The website also features all pertinent information regarding the Global Compacts for Migration and on Refugees.</w:t>
            </w:r>
          </w:p>
          <w:p w:rsidR="000C2BB2" w:rsidRPr="00EF1577" w:rsidRDefault="000C2BB2" w:rsidP="00D92342">
            <w:pPr>
              <w:rPr>
                <w:sz w:val="20"/>
                <w:szCs w:val="20"/>
              </w:rPr>
            </w:pPr>
          </w:p>
          <w:p w:rsidR="000C2BB2" w:rsidRPr="00EF1577" w:rsidRDefault="000C2BB2" w:rsidP="00D92342">
            <w:pPr>
              <w:rPr>
                <w:sz w:val="20"/>
                <w:szCs w:val="20"/>
              </w:rPr>
            </w:pPr>
            <w:r w:rsidRPr="00EF1577">
              <w:rPr>
                <w:sz w:val="20"/>
                <w:szCs w:val="20"/>
              </w:rPr>
              <w:t>The website was initially created in preparation of the high-level plenary meeting on addressing large movements of refugees and migrants on the 19 September 2016 that UN General Assembly decided to convene.</w:t>
            </w:r>
          </w:p>
        </w:tc>
        <w:tc>
          <w:tcPr>
            <w:tcW w:w="3060" w:type="dxa"/>
          </w:tcPr>
          <w:p w:rsidR="000C2BB2" w:rsidRPr="00EF1577" w:rsidRDefault="000C2BB2">
            <w:pPr>
              <w:rPr>
                <w:sz w:val="20"/>
                <w:szCs w:val="20"/>
              </w:rPr>
            </w:pPr>
            <w:hyperlink r:id="rId13" w:history="1">
              <w:r w:rsidRPr="00EF1577">
                <w:rPr>
                  <w:rStyle w:val="Hyperlink"/>
                  <w:sz w:val="20"/>
                  <w:szCs w:val="20"/>
                </w:rPr>
                <w:t>https://refugeesmigrants.un.org/</w:t>
              </w:r>
            </w:hyperlink>
          </w:p>
          <w:p w:rsidR="000C2BB2" w:rsidRPr="00EF1577" w:rsidRDefault="000C2BB2">
            <w:pPr>
              <w:rPr>
                <w:sz w:val="20"/>
                <w:szCs w:val="20"/>
              </w:rPr>
            </w:pPr>
          </w:p>
        </w:tc>
      </w:tr>
      <w:tr w:rsidR="000C2BB2" w:rsidRPr="00EF1577" w:rsidTr="001116EE">
        <w:tc>
          <w:tcPr>
            <w:tcW w:w="2520" w:type="dxa"/>
          </w:tcPr>
          <w:p w:rsidR="000C2BB2" w:rsidRPr="00EF1577" w:rsidRDefault="000C2BB2" w:rsidP="00EF1577">
            <w:pPr>
              <w:pStyle w:val="ListParagraph"/>
              <w:numPr>
                <w:ilvl w:val="0"/>
                <w:numId w:val="1"/>
              </w:numPr>
              <w:ind w:left="429"/>
              <w:rPr>
                <w:sz w:val="20"/>
                <w:szCs w:val="20"/>
              </w:rPr>
            </w:pPr>
            <w:r w:rsidRPr="00EF1577">
              <w:rPr>
                <w:sz w:val="20"/>
                <w:szCs w:val="20"/>
              </w:rPr>
              <w:t>The TOGETHER initiative</w:t>
            </w:r>
          </w:p>
        </w:tc>
        <w:tc>
          <w:tcPr>
            <w:tcW w:w="1620" w:type="dxa"/>
          </w:tcPr>
          <w:p w:rsidR="000C2BB2" w:rsidRPr="00EF1577" w:rsidRDefault="000C2BB2" w:rsidP="00EF1577">
            <w:pPr>
              <w:rPr>
                <w:sz w:val="20"/>
                <w:szCs w:val="20"/>
              </w:rPr>
            </w:pPr>
            <w:r>
              <w:rPr>
                <w:sz w:val="20"/>
                <w:szCs w:val="20"/>
              </w:rPr>
              <w:t>Global</w:t>
            </w:r>
          </w:p>
        </w:tc>
        <w:tc>
          <w:tcPr>
            <w:tcW w:w="7110" w:type="dxa"/>
          </w:tcPr>
          <w:p w:rsidR="000C2BB2" w:rsidRPr="00EF1577" w:rsidRDefault="000C2BB2" w:rsidP="00EF1577">
            <w:pPr>
              <w:rPr>
                <w:sz w:val="20"/>
                <w:szCs w:val="20"/>
              </w:rPr>
            </w:pPr>
            <w:r w:rsidRPr="00EF1577">
              <w:rPr>
                <w:sz w:val="20"/>
                <w:szCs w:val="20"/>
              </w:rPr>
              <w:t>TOGETHER is a global initiative led by the United Nations that wants to change negative perceptions and attitudes towards refugees and migrants, and to strengthen the social contract between host countries and communities, and refugees and migrants.</w:t>
            </w:r>
          </w:p>
          <w:p w:rsidR="000C2BB2" w:rsidRPr="00EF1577" w:rsidRDefault="000C2BB2" w:rsidP="00EF1577">
            <w:pPr>
              <w:rPr>
                <w:sz w:val="20"/>
                <w:szCs w:val="20"/>
              </w:rPr>
            </w:pPr>
          </w:p>
          <w:p w:rsidR="000C2BB2" w:rsidRPr="00EF1577" w:rsidRDefault="000C2BB2" w:rsidP="00EF1577">
            <w:pPr>
              <w:rPr>
                <w:sz w:val="20"/>
                <w:szCs w:val="20"/>
              </w:rPr>
            </w:pPr>
            <w:r w:rsidRPr="00EF1577">
              <w:rPr>
                <w:sz w:val="20"/>
                <w:szCs w:val="20"/>
              </w:rPr>
              <w:lastRenderedPageBreak/>
              <w:t>In the New York Declaration, all 193 UN Member States unanimously welcomed TOGETHER and committed to implementing the campaign. TOGETHER will run until the signing of two separate Global Compacts, one on Refugees and one on Migrants, in the second half of 2018.</w:t>
            </w:r>
          </w:p>
        </w:tc>
        <w:tc>
          <w:tcPr>
            <w:tcW w:w="3060" w:type="dxa"/>
          </w:tcPr>
          <w:p w:rsidR="000C2BB2" w:rsidRDefault="000C2BB2">
            <w:pPr>
              <w:rPr>
                <w:sz w:val="20"/>
                <w:szCs w:val="20"/>
              </w:rPr>
            </w:pPr>
            <w:hyperlink r:id="rId14" w:history="1">
              <w:r w:rsidRPr="002333E4">
                <w:rPr>
                  <w:rStyle w:val="Hyperlink"/>
                  <w:sz w:val="20"/>
                  <w:szCs w:val="20"/>
                </w:rPr>
                <w:t>https://together.un.org/</w:t>
              </w:r>
            </w:hyperlink>
          </w:p>
          <w:p w:rsidR="000C2BB2" w:rsidRPr="00EF1577" w:rsidRDefault="000C2BB2">
            <w:pPr>
              <w:rPr>
                <w:sz w:val="20"/>
                <w:szCs w:val="20"/>
              </w:rPr>
            </w:pPr>
          </w:p>
        </w:tc>
      </w:tr>
      <w:tr w:rsidR="00701B14" w:rsidRPr="00EF1577" w:rsidTr="001116EE">
        <w:tc>
          <w:tcPr>
            <w:tcW w:w="2520" w:type="dxa"/>
          </w:tcPr>
          <w:p w:rsidR="00701B14" w:rsidRPr="00EF1577" w:rsidRDefault="00701B14" w:rsidP="00EF1577">
            <w:pPr>
              <w:pStyle w:val="ListParagraph"/>
              <w:numPr>
                <w:ilvl w:val="0"/>
                <w:numId w:val="1"/>
              </w:numPr>
              <w:ind w:left="429"/>
              <w:rPr>
                <w:sz w:val="20"/>
                <w:szCs w:val="20"/>
              </w:rPr>
            </w:pPr>
            <w:r>
              <w:rPr>
                <w:sz w:val="20"/>
                <w:szCs w:val="20"/>
              </w:rPr>
              <w:t>Impossible Choices</w:t>
            </w:r>
            <w:r w:rsidR="004763DE">
              <w:rPr>
                <w:sz w:val="20"/>
                <w:szCs w:val="20"/>
              </w:rPr>
              <w:t xml:space="preserve"> Campaign</w:t>
            </w:r>
            <w:bookmarkStart w:id="0" w:name="_GoBack"/>
            <w:bookmarkEnd w:id="0"/>
          </w:p>
        </w:tc>
        <w:tc>
          <w:tcPr>
            <w:tcW w:w="1620" w:type="dxa"/>
          </w:tcPr>
          <w:p w:rsidR="00701B14" w:rsidRDefault="004763DE" w:rsidP="00EF1577">
            <w:pPr>
              <w:rPr>
                <w:sz w:val="20"/>
                <w:szCs w:val="20"/>
              </w:rPr>
            </w:pPr>
            <w:r>
              <w:rPr>
                <w:sz w:val="20"/>
                <w:szCs w:val="20"/>
              </w:rPr>
              <w:t>Global</w:t>
            </w:r>
          </w:p>
        </w:tc>
        <w:tc>
          <w:tcPr>
            <w:tcW w:w="7110" w:type="dxa"/>
          </w:tcPr>
          <w:p w:rsidR="00701B14" w:rsidRPr="00EF1577" w:rsidRDefault="004763DE" w:rsidP="00EF1577">
            <w:pPr>
              <w:rPr>
                <w:sz w:val="20"/>
                <w:szCs w:val="20"/>
              </w:rPr>
            </w:pPr>
            <w:r w:rsidRPr="004763DE">
              <w:rPr>
                <w:sz w:val="20"/>
                <w:szCs w:val="20"/>
              </w:rPr>
              <w:t xml:space="preserve">The social media focused campaign Impossible Choices was launched in support of the first ever World Humanitarian Summit, which </w:t>
            </w:r>
            <w:r>
              <w:rPr>
                <w:sz w:val="20"/>
                <w:szCs w:val="20"/>
              </w:rPr>
              <w:t>took</w:t>
            </w:r>
            <w:r w:rsidRPr="004763DE">
              <w:rPr>
                <w:sz w:val="20"/>
                <w:szCs w:val="20"/>
              </w:rPr>
              <w:t xml:space="preserve"> place in Istanbul on 23-24 May.</w:t>
            </w:r>
            <w:r>
              <w:t xml:space="preserve"> </w:t>
            </w:r>
            <w:r w:rsidRPr="004763DE">
              <w:rPr>
                <w:sz w:val="20"/>
                <w:szCs w:val="20"/>
              </w:rPr>
              <w:t>The digital challenge at ImpossibleChoices.org features a three-minute, online journey based on real experiences people in crises often face. At the end of the online experience, users can share results across their respective social platforms and call upon global leadership to attend the Summit, and take bold action.</w:t>
            </w:r>
          </w:p>
        </w:tc>
        <w:tc>
          <w:tcPr>
            <w:tcW w:w="3060" w:type="dxa"/>
          </w:tcPr>
          <w:p w:rsidR="00701B14" w:rsidRDefault="004763DE">
            <w:pPr>
              <w:rPr>
                <w:sz w:val="20"/>
                <w:szCs w:val="20"/>
              </w:rPr>
            </w:pPr>
            <w:hyperlink r:id="rId15" w:history="1">
              <w:r w:rsidRPr="002333E4">
                <w:rPr>
                  <w:rStyle w:val="Hyperlink"/>
                  <w:sz w:val="20"/>
                  <w:szCs w:val="20"/>
                </w:rPr>
                <w:t>http://impossiblechoices.org</w:t>
              </w:r>
            </w:hyperlink>
          </w:p>
          <w:p w:rsidR="004763DE" w:rsidRDefault="004763DE">
            <w:pPr>
              <w:rPr>
                <w:sz w:val="20"/>
                <w:szCs w:val="20"/>
              </w:rPr>
            </w:pPr>
          </w:p>
        </w:tc>
      </w:tr>
      <w:tr w:rsidR="000C2BB2" w:rsidRPr="00EF1577" w:rsidTr="001116EE">
        <w:tc>
          <w:tcPr>
            <w:tcW w:w="2520" w:type="dxa"/>
          </w:tcPr>
          <w:p w:rsidR="000C2BB2" w:rsidRPr="00EF1577" w:rsidRDefault="000C2BB2" w:rsidP="00EF1577">
            <w:pPr>
              <w:pStyle w:val="ListParagraph"/>
              <w:numPr>
                <w:ilvl w:val="0"/>
                <w:numId w:val="1"/>
              </w:numPr>
              <w:ind w:left="429"/>
              <w:rPr>
                <w:sz w:val="20"/>
                <w:szCs w:val="20"/>
              </w:rPr>
            </w:pPr>
            <w:r>
              <w:rPr>
                <w:sz w:val="20"/>
                <w:szCs w:val="20"/>
              </w:rPr>
              <w:t>iamaMigrant</w:t>
            </w:r>
          </w:p>
        </w:tc>
        <w:tc>
          <w:tcPr>
            <w:tcW w:w="1620" w:type="dxa"/>
          </w:tcPr>
          <w:p w:rsidR="000C2BB2" w:rsidRPr="00EF1577" w:rsidRDefault="000C2BB2" w:rsidP="00EF1577">
            <w:pPr>
              <w:rPr>
                <w:sz w:val="20"/>
                <w:szCs w:val="20"/>
              </w:rPr>
            </w:pPr>
            <w:r>
              <w:rPr>
                <w:sz w:val="20"/>
                <w:szCs w:val="20"/>
              </w:rPr>
              <w:t>Global</w:t>
            </w:r>
          </w:p>
        </w:tc>
        <w:tc>
          <w:tcPr>
            <w:tcW w:w="7110" w:type="dxa"/>
          </w:tcPr>
          <w:p w:rsidR="000C2BB2" w:rsidRPr="00EF1577" w:rsidRDefault="000C2BB2" w:rsidP="00EF1577">
            <w:pPr>
              <w:rPr>
                <w:sz w:val="20"/>
                <w:szCs w:val="20"/>
              </w:rPr>
            </w:pPr>
            <w:r w:rsidRPr="00EF1577">
              <w:rPr>
                <w:sz w:val="20"/>
                <w:szCs w:val="20"/>
              </w:rPr>
              <w:t>“i am a migrant” is the UN Migration Agency’s platform to promote diversity and inclusion of migrants in society. It’s specifically designed to support volunteer groups, local authorities, companies, associations, groups, indeed, anyone of goodwill who is concerned about the hostile public discourse against migrants.</w:t>
            </w:r>
          </w:p>
          <w:p w:rsidR="000C2BB2" w:rsidRPr="00EF1577" w:rsidRDefault="000C2BB2" w:rsidP="00EF1577">
            <w:pPr>
              <w:rPr>
                <w:sz w:val="20"/>
                <w:szCs w:val="20"/>
              </w:rPr>
            </w:pPr>
          </w:p>
          <w:p w:rsidR="000C2BB2" w:rsidRPr="00EF1577" w:rsidRDefault="000C2BB2" w:rsidP="00EF1577">
            <w:pPr>
              <w:rPr>
                <w:sz w:val="20"/>
                <w:szCs w:val="20"/>
              </w:rPr>
            </w:pPr>
            <w:r w:rsidRPr="00EF1577">
              <w:rPr>
                <w:sz w:val="20"/>
                <w:szCs w:val="20"/>
              </w:rPr>
              <w:t>“i am a migrant” allows the voices of individuals to shine through and provides an honest insight into the triumphs and tribulations of migrants of all  backgrounds and at all phases of their migratory journeys.</w:t>
            </w:r>
          </w:p>
        </w:tc>
        <w:tc>
          <w:tcPr>
            <w:tcW w:w="3060" w:type="dxa"/>
          </w:tcPr>
          <w:p w:rsidR="000C2BB2" w:rsidRDefault="000C2BB2">
            <w:pPr>
              <w:rPr>
                <w:sz w:val="20"/>
                <w:szCs w:val="20"/>
              </w:rPr>
            </w:pPr>
            <w:hyperlink r:id="rId16" w:history="1">
              <w:r w:rsidRPr="002333E4">
                <w:rPr>
                  <w:rStyle w:val="Hyperlink"/>
                  <w:sz w:val="20"/>
                  <w:szCs w:val="20"/>
                </w:rPr>
                <w:t>http://iamamigrant.org/</w:t>
              </w:r>
            </w:hyperlink>
          </w:p>
          <w:p w:rsidR="000C2BB2" w:rsidRDefault="000C2BB2">
            <w:pPr>
              <w:rPr>
                <w:sz w:val="20"/>
                <w:szCs w:val="20"/>
              </w:rPr>
            </w:pPr>
            <w:hyperlink r:id="rId17" w:history="1">
              <w:r w:rsidRPr="002333E4">
                <w:rPr>
                  <w:rStyle w:val="Hyperlink"/>
                  <w:sz w:val="20"/>
                  <w:szCs w:val="20"/>
                </w:rPr>
                <w:t>https://twitter.com/iamamigrant</w:t>
              </w:r>
            </w:hyperlink>
          </w:p>
          <w:p w:rsidR="000C2BB2" w:rsidRDefault="000C2BB2">
            <w:pPr>
              <w:rPr>
                <w:sz w:val="20"/>
                <w:szCs w:val="20"/>
              </w:rPr>
            </w:pPr>
          </w:p>
        </w:tc>
      </w:tr>
      <w:tr w:rsidR="000C2BB2" w:rsidRPr="00EF1577" w:rsidTr="001116EE">
        <w:tc>
          <w:tcPr>
            <w:tcW w:w="2520" w:type="dxa"/>
          </w:tcPr>
          <w:p w:rsidR="000C2BB2" w:rsidRDefault="000C2BB2" w:rsidP="00EF1577">
            <w:pPr>
              <w:pStyle w:val="ListParagraph"/>
              <w:numPr>
                <w:ilvl w:val="0"/>
                <w:numId w:val="1"/>
              </w:numPr>
              <w:ind w:left="429"/>
              <w:rPr>
                <w:sz w:val="20"/>
                <w:szCs w:val="20"/>
              </w:rPr>
            </w:pPr>
            <w:r>
              <w:rPr>
                <w:sz w:val="20"/>
                <w:szCs w:val="20"/>
              </w:rPr>
              <w:t>UN Sustainable Development Goals</w:t>
            </w:r>
          </w:p>
        </w:tc>
        <w:tc>
          <w:tcPr>
            <w:tcW w:w="1620" w:type="dxa"/>
          </w:tcPr>
          <w:p w:rsidR="000C2BB2" w:rsidRPr="0046608A" w:rsidRDefault="000C2BB2" w:rsidP="00EF1577">
            <w:pPr>
              <w:rPr>
                <w:sz w:val="20"/>
                <w:szCs w:val="20"/>
              </w:rPr>
            </w:pPr>
            <w:r>
              <w:rPr>
                <w:sz w:val="20"/>
                <w:szCs w:val="20"/>
              </w:rPr>
              <w:t>Global</w:t>
            </w:r>
          </w:p>
        </w:tc>
        <w:tc>
          <w:tcPr>
            <w:tcW w:w="7110" w:type="dxa"/>
          </w:tcPr>
          <w:p w:rsidR="000C2BB2" w:rsidRPr="00EF1577" w:rsidRDefault="000C2BB2" w:rsidP="00EF1577">
            <w:pPr>
              <w:rPr>
                <w:sz w:val="20"/>
                <w:szCs w:val="20"/>
              </w:rPr>
            </w:pPr>
            <w:r w:rsidRPr="0046608A">
              <w:rPr>
                <w:sz w:val="20"/>
                <w:szCs w:val="20"/>
              </w:rPr>
              <w:t>The SDGs, also known as Global Goals, build on the success of the Millennium Development Goals (MDGs) and aim to go further to end all forms of poverty. The new Goals are unique in that they call for action by all countries, poor, rich and middle-income to promote prosperity while protecting the planet. They recognize that ending poverty must go hand-in-hand with strategies that build economic growth and addresses a range of social needs including education, health, social protection, and job opportunities, while tackling climate change and environmental protection.</w:t>
            </w:r>
          </w:p>
        </w:tc>
        <w:tc>
          <w:tcPr>
            <w:tcW w:w="3060" w:type="dxa"/>
          </w:tcPr>
          <w:p w:rsidR="000C2BB2" w:rsidRDefault="000C2BB2">
            <w:pPr>
              <w:rPr>
                <w:sz w:val="20"/>
                <w:szCs w:val="20"/>
              </w:rPr>
            </w:pPr>
            <w:hyperlink r:id="rId18" w:history="1">
              <w:r w:rsidRPr="002333E4">
                <w:rPr>
                  <w:rStyle w:val="Hyperlink"/>
                  <w:sz w:val="20"/>
                  <w:szCs w:val="20"/>
                </w:rPr>
                <w:t>https://www.un.org/sustainabledevelopment/sustainable-development-goals</w:t>
              </w:r>
            </w:hyperlink>
          </w:p>
          <w:p w:rsidR="000C2BB2" w:rsidRDefault="000C2BB2">
            <w:pPr>
              <w:rPr>
                <w:sz w:val="20"/>
                <w:szCs w:val="20"/>
              </w:rPr>
            </w:pPr>
            <w:hyperlink r:id="rId19" w:history="1">
              <w:r w:rsidRPr="002333E4">
                <w:rPr>
                  <w:rStyle w:val="Hyperlink"/>
                  <w:sz w:val="20"/>
                  <w:szCs w:val="20"/>
                </w:rPr>
                <w:t>https://twitter.com/globalgoalsun</w:t>
              </w:r>
            </w:hyperlink>
          </w:p>
          <w:p w:rsidR="000C2BB2" w:rsidRDefault="000C2BB2">
            <w:pPr>
              <w:rPr>
                <w:sz w:val="20"/>
                <w:szCs w:val="20"/>
              </w:rPr>
            </w:pPr>
            <w:hyperlink r:id="rId20" w:history="1">
              <w:r w:rsidRPr="002333E4">
                <w:rPr>
                  <w:rStyle w:val="Hyperlink"/>
                  <w:sz w:val="20"/>
                  <w:szCs w:val="20"/>
                </w:rPr>
                <w:t>https://www.facebook.com/globalgoalsUN/</w:t>
              </w:r>
            </w:hyperlink>
          </w:p>
          <w:p w:rsidR="000C2BB2" w:rsidRDefault="000C2BB2">
            <w:pPr>
              <w:rPr>
                <w:sz w:val="20"/>
                <w:szCs w:val="20"/>
              </w:rPr>
            </w:pPr>
          </w:p>
        </w:tc>
      </w:tr>
      <w:tr w:rsidR="000C2BB2" w:rsidRPr="00EF1577" w:rsidTr="001116EE">
        <w:tc>
          <w:tcPr>
            <w:tcW w:w="2520" w:type="dxa"/>
          </w:tcPr>
          <w:p w:rsidR="000C2BB2" w:rsidRDefault="000C2BB2" w:rsidP="00EF1577">
            <w:pPr>
              <w:pStyle w:val="ListParagraph"/>
              <w:numPr>
                <w:ilvl w:val="0"/>
                <w:numId w:val="1"/>
              </w:numPr>
              <w:ind w:left="429"/>
              <w:rPr>
                <w:sz w:val="20"/>
                <w:szCs w:val="20"/>
              </w:rPr>
            </w:pPr>
            <w:r>
              <w:rPr>
                <w:sz w:val="20"/>
                <w:szCs w:val="20"/>
              </w:rPr>
              <w:t>UN High-Level Political Forum</w:t>
            </w:r>
          </w:p>
        </w:tc>
        <w:tc>
          <w:tcPr>
            <w:tcW w:w="1620" w:type="dxa"/>
          </w:tcPr>
          <w:p w:rsidR="000C2BB2" w:rsidRPr="00E43E02" w:rsidRDefault="000C2BB2" w:rsidP="00EF1577">
            <w:pPr>
              <w:rPr>
                <w:sz w:val="20"/>
                <w:szCs w:val="20"/>
              </w:rPr>
            </w:pPr>
            <w:r>
              <w:rPr>
                <w:sz w:val="20"/>
                <w:szCs w:val="20"/>
              </w:rPr>
              <w:t>Global</w:t>
            </w:r>
          </w:p>
        </w:tc>
        <w:tc>
          <w:tcPr>
            <w:tcW w:w="7110" w:type="dxa"/>
          </w:tcPr>
          <w:p w:rsidR="000C2BB2" w:rsidRDefault="000C2BB2" w:rsidP="00EF1577">
            <w:pPr>
              <w:rPr>
                <w:sz w:val="20"/>
                <w:szCs w:val="20"/>
              </w:rPr>
            </w:pPr>
            <w:r w:rsidRPr="00E43E02">
              <w:rPr>
                <w:sz w:val="20"/>
                <w:szCs w:val="20"/>
              </w:rPr>
              <w:t>The establishment of the United Nations High-level Political Forum on Sustainable Development (HLPF) was mandated in 2012 by the outcome document of the United Nations Conference on Sustainable Development (Rio+20), "The Future We Want".</w:t>
            </w:r>
            <w:r>
              <w:rPr>
                <w:sz w:val="20"/>
                <w:szCs w:val="20"/>
              </w:rPr>
              <w:t xml:space="preserve"> </w:t>
            </w:r>
            <w:r w:rsidRPr="00E43E02">
              <w:rPr>
                <w:sz w:val="20"/>
                <w:szCs w:val="20"/>
              </w:rPr>
              <w:t>The HLPF is the main United Nations platform on sustainable development and it has a central role in the follow-up and review of the 2030 Agenda for Sustainable Development the Sustainable Development Goals (SDGs) at the global level.</w:t>
            </w:r>
          </w:p>
          <w:p w:rsidR="000C2BB2" w:rsidRDefault="000C2BB2" w:rsidP="00EF1577">
            <w:pPr>
              <w:rPr>
                <w:sz w:val="20"/>
                <w:szCs w:val="20"/>
              </w:rPr>
            </w:pPr>
          </w:p>
          <w:p w:rsidR="000C2BB2" w:rsidRPr="0046608A" w:rsidRDefault="000C2BB2" w:rsidP="00EF1577">
            <w:pPr>
              <w:rPr>
                <w:sz w:val="20"/>
                <w:szCs w:val="20"/>
              </w:rPr>
            </w:pPr>
          </w:p>
        </w:tc>
        <w:tc>
          <w:tcPr>
            <w:tcW w:w="3060" w:type="dxa"/>
          </w:tcPr>
          <w:p w:rsidR="000C2BB2" w:rsidRDefault="000C2BB2">
            <w:pPr>
              <w:rPr>
                <w:sz w:val="20"/>
                <w:szCs w:val="20"/>
              </w:rPr>
            </w:pPr>
            <w:hyperlink r:id="rId21" w:history="1">
              <w:r w:rsidRPr="002333E4">
                <w:rPr>
                  <w:rStyle w:val="Hyperlink"/>
                  <w:sz w:val="20"/>
                  <w:szCs w:val="20"/>
                </w:rPr>
                <w:t>https://sustainabledevelopment.un.org/hlpf</w:t>
              </w:r>
            </w:hyperlink>
          </w:p>
          <w:p w:rsidR="000C2BB2" w:rsidRDefault="000C2BB2">
            <w:pPr>
              <w:rPr>
                <w:sz w:val="20"/>
                <w:szCs w:val="20"/>
              </w:rPr>
            </w:pPr>
          </w:p>
        </w:tc>
      </w:tr>
      <w:tr w:rsidR="000C2BB2" w:rsidRPr="00EF1577" w:rsidTr="001116EE">
        <w:tc>
          <w:tcPr>
            <w:tcW w:w="2520" w:type="dxa"/>
          </w:tcPr>
          <w:p w:rsidR="000C2BB2" w:rsidRDefault="000C2BB2" w:rsidP="00EF1577">
            <w:pPr>
              <w:pStyle w:val="ListParagraph"/>
              <w:numPr>
                <w:ilvl w:val="0"/>
                <w:numId w:val="1"/>
              </w:numPr>
              <w:ind w:left="429"/>
              <w:rPr>
                <w:sz w:val="20"/>
                <w:szCs w:val="20"/>
              </w:rPr>
            </w:pPr>
            <w:r>
              <w:rPr>
                <w:sz w:val="20"/>
                <w:szCs w:val="20"/>
              </w:rPr>
              <w:t>Rabat Process</w:t>
            </w:r>
          </w:p>
        </w:tc>
        <w:tc>
          <w:tcPr>
            <w:tcW w:w="1620" w:type="dxa"/>
          </w:tcPr>
          <w:p w:rsidR="000C2BB2" w:rsidRPr="000C2BB2" w:rsidRDefault="0068109F" w:rsidP="000C2BB2">
            <w:pPr>
              <w:rPr>
                <w:sz w:val="20"/>
                <w:szCs w:val="20"/>
              </w:rPr>
            </w:pPr>
            <w:r>
              <w:rPr>
                <w:sz w:val="20"/>
                <w:szCs w:val="20"/>
              </w:rPr>
              <w:t>Inter-regional (Africa-Europe)</w:t>
            </w:r>
          </w:p>
        </w:tc>
        <w:tc>
          <w:tcPr>
            <w:tcW w:w="7110" w:type="dxa"/>
          </w:tcPr>
          <w:p w:rsidR="000C2BB2" w:rsidRPr="000C2BB2" w:rsidRDefault="000C2BB2" w:rsidP="000C2BB2">
            <w:pPr>
              <w:rPr>
                <w:sz w:val="20"/>
                <w:szCs w:val="20"/>
              </w:rPr>
            </w:pPr>
            <w:r w:rsidRPr="000C2BB2">
              <w:rPr>
                <w:sz w:val="20"/>
                <w:szCs w:val="20"/>
              </w:rPr>
              <w:t xml:space="preserve">The Rabat Process is a platform for political cooperation amongst the countries along the migration route between Central, Western, Northern Africa and Europe. </w:t>
            </w:r>
          </w:p>
          <w:p w:rsidR="000C2BB2" w:rsidRPr="000C2BB2" w:rsidRDefault="000C2BB2" w:rsidP="000C2BB2">
            <w:pPr>
              <w:rPr>
                <w:sz w:val="20"/>
                <w:szCs w:val="20"/>
              </w:rPr>
            </w:pPr>
          </w:p>
          <w:p w:rsidR="000C2BB2" w:rsidRPr="00E43E02" w:rsidRDefault="000C2BB2" w:rsidP="000C2BB2">
            <w:pPr>
              <w:rPr>
                <w:sz w:val="20"/>
                <w:szCs w:val="20"/>
              </w:rPr>
            </w:pPr>
            <w:r w:rsidRPr="000C2BB2">
              <w:rPr>
                <w:sz w:val="20"/>
                <w:szCs w:val="20"/>
              </w:rPr>
              <w:t>Since 2006, the Dialogue promotes policy-making on migration issues, through an approach that includes the link between migration and development.</w:t>
            </w:r>
          </w:p>
        </w:tc>
        <w:tc>
          <w:tcPr>
            <w:tcW w:w="3060" w:type="dxa"/>
          </w:tcPr>
          <w:p w:rsidR="000C2BB2" w:rsidRDefault="000C2BB2">
            <w:pPr>
              <w:rPr>
                <w:sz w:val="20"/>
                <w:szCs w:val="20"/>
              </w:rPr>
            </w:pPr>
            <w:hyperlink r:id="rId22" w:history="1">
              <w:r w:rsidRPr="002333E4">
                <w:rPr>
                  <w:rStyle w:val="Hyperlink"/>
                  <w:sz w:val="20"/>
                  <w:szCs w:val="20"/>
                </w:rPr>
                <w:t>https://www.rabat-process.org/</w:t>
              </w:r>
            </w:hyperlink>
          </w:p>
          <w:p w:rsidR="000C2BB2" w:rsidRDefault="000C2BB2">
            <w:pPr>
              <w:rPr>
                <w:sz w:val="20"/>
                <w:szCs w:val="20"/>
              </w:rPr>
            </w:pPr>
          </w:p>
        </w:tc>
      </w:tr>
      <w:tr w:rsidR="000C2BB2" w:rsidRPr="00EF1577" w:rsidTr="001116EE">
        <w:tc>
          <w:tcPr>
            <w:tcW w:w="2520" w:type="dxa"/>
          </w:tcPr>
          <w:p w:rsidR="000C2BB2" w:rsidRDefault="000C2BB2" w:rsidP="00EF1577">
            <w:pPr>
              <w:pStyle w:val="ListParagraph"/>
              <w:numPr>
                <w:ilvl w:val="0"/>
                <w:numId w:val="1"/>
              </w:numPr>
              <w:ind w:left="429"/>
              <w:rPr>
                <w:sz w:val="20"/>
                <w:szCs w:val="20"/>
              </w:rPr>
            </w:pPr>
            <w:r>
              <w:rPr>
                <w:sz w:val="20"/>
                <w:szCs w:val="20"/>
              </w:rPr>
              <w:lastRenderedPageBreak/>
              <w:t>Abu Dhabi Dialogue</w:t>
            </w:r>
          </w:p>
        </w:tc>
        <w:tc>
          <w:tcPr>
            <w:tcW w:w="1620" w:type="dxa"/>
          </w:tcPr>
          <w:p w:rsidR="000C2BB2" w:rsidRPr="000C2BB2" w:rsidRDefault="0068109F" w:rsidP="000C2BB2">
            <w:pPr>
              <w:rPr>
                <w:sz w:val="20"/>
                <w:szCs w:val="20"/>
              </w:rPr>
            </w:pPr>
            <w:r>
              <w:rPr>
                <w:sz w:val="20"/>
                <w:szCs w:val="20"/>
              </w:rPr>
              <w:t>Inter-regional</w:t>
            </w:r>
            <w:r>
              <w:rPr>
                <w:sz w:val="20"/>
                <w:szCs w:val="20"/>
              </w:rPr>
              <w:t xml:space="preserve"> (Asia-Middle East)</w:t>
            </w:r>
          </w:p>
        </w:tc>
        <w:tc>
          <w:tcPr>
            <w:tcW w:w="7110" w:type="dxa"/>
          </w:tcPr>
          <w:p w:rsidR="000C2BB2" w:rsidRPr="000C2BB2" w:rsidRDefault="000C2BB2" w:rsidP="000C2BB2">
            <w:pPr>
              <w:rPr>
                <w:sz w:val="20"/>
                <w:szCs w:val="20"/>
              </w:rPr>
            </w:pPr>
            <w:r w:rsidRPr="000C2BB2">
              <w:rPr>
                <w:sz w:val="20"/>
                <w:szCs w:val="20"/>
              </w:rPr>
              <w:t>The Ministerial Consultation on Overseas Employment and Contractual Labour for Countries of Origin and Destination in Asia or Abu Dhabi Dialogue (ADD) launched a collaborative approach to address development in temporary labour mobility in Asia. It was initiated to broaden the base for common understanding of issues and to influence practices and policies in the area of contractual labour for the region.</w:t>
            </w:r>
          </w:p>
        </w:tc>
        <w:tc>
          <w:tcPr>
            <w:tcW w:w="3060" w:type="dxa"/>
          </w:tcPr>
          <w:p w:rsidR="000C2BB2" w:rsidRDefault="000C2BB2">
            <w:pPr>
              <w:rPr>
                <w:sz w:val="20"/>
                <w:szCs w:val="20"/>
              </w:rPr>
            </w:pPr>
            <w:hyperlink r:id="rId23" w:history="1">
              <w:r w:rsidRPr="002333E4">
                <w:rPr>
                  <w:rStyle w:val="Hyperlink"/>
                  <w:sz w:val="20"/>
                  <w:szCs w:val="20"/>
                </w:rPr>
                <w:t>https://twitter.com/MOHRE_UAE</w:t>
              </w:r>
            </w:hyperlink>
          </w:p>
          <w:p w:rsidR="000C2BB2" w:rsidRDefault="000C2BB2">
            <w:pPr>
              <w:rPr>
                <w:sz w:val="20"/>
                <w:szCs w:val="20"/>
              </w:rPr>
            </w:pPr>
          </w:p>
        </w:tc>
      </w:tr>
      <w:tr w:rsidR="000C2BB2" w:rsidRPr="00EF1577" w:rsidTr="001116EE">
        <w:tc>
          <w:tcPr>
            <w:tcW w:w="2520" w:type="dxa"/>
          </w:tcPr>
          <w:p w:rsidR="000C2BB2" w:rsidRDefault="000C2BB2" w:rsidP="000C2BB2">
            <w:pPr>
              <w:pStyle w:val="ListParagraph"/>
              <w:numPr>
                <w:ilvl w:val="0"/>
                <w:numId w:val="1"/>
              </w:numPr>
              <w:ind w:left="429"/>
              <w:rPr>
                <w:sz w:val="20"/>
                <w:szCs w:val="20"/>
              </w:rPr>
            </w:pPr>
            <w:r w:rsidRPr="000C2BB2">
              <w:rPr>
                <w:sz w:val="20"/>
                <w:szCs w:val="20"/>
              </w:rPr>
              <w:t>Bali Process on People Smuggling, Trafficking in Persons and Related Transnational Crime (Bali Process)</w:t>
            </w:r>
          </w:p>
        </w:tc>
        <w:tc>
          <w:tcPr>
            <w:tcW w:w="1620" w:type="dxa"/>
          </w:tcPr>
          <w:p w:rsidR="0068109F" w:rsidRDefault="0068109F" w:rsidP="000C2BB2">
            <w:pPr>
              <w:rPr>
                <w:sz w:val="20"/>
                <w:szCs w:val="20"/>
              </w:rPr>
            </w:pPr>
            <w:r>
              <w:rPr>
                <w:sz w:val="20"/>
                <w:szCs w:val="20"/>
              </w:rPr>
              <w:t>Inter-regional</w:t>
            </w:r>
          </w:p>
          <w:p w:rsidR="000C2BB2" w:rsidRDefault="0068109F" w:rsidP="000C2BB2">
            <w:pPr>
              <w:rPr>
                <w:sz w:val="20"/>
                <w:szCs w:val="20"/>
              </w:rPr>
            </w:pPr>
            <w:r>
              <w:rPr>
                <w:sz w:val="20"/>
                <w:szCs w:val="20"/>
              </w:rPr>
              <w:t>(</w:t>
            </w:r>
            <w:r w:rsidRPr="0068109F">
              <w:rPr>
                <w:sz w:val="20"/>
                <w:szCs w:val="20"/>
              </w:rPr>
              <w:t>Europe – Asia – Americas –the Middle East</w:t>
            </w:r>
            <w:r>
              <w:rPr>
                <w:sz w:val="20"/>
                <w:szCs w:val="20"/>
              </w:rPr>
              <w:t>)</w:t>
            </w:r>
          </w:p>
        </w:tc>
        <w:tc>
          <w:tcPr>
            <w:tcW w:w="7110" w:type="dxa"/>
          </w:tcPr>
          <w:p w:rsidR="000C2BB2" w:rsidRPr="000C2BB2" w:rsidRDefault="000C2BB2" w:rsidP="000C2BB2">
            <w:pPr>
              <w:rPr>
                <w:sz w:val="20"/>
                <w:szCs w:val="20"/>
              </w:rPr>
            </w:pPr>
            <w:r>
              <w:rPr>
                <w:sz w:val="20"/>
                <w:szCs w:val="20"/>
              </w:rPr>
              <w:t xml:space="preserve">The </w:t>
            </w:r>
            <w:r w:rsidRPr="000C2BB2">
              <w:rPr>
                <w:sz w:val="20"/>
                <w:szCs w:val="20"/>
              </w:rPr>
              <w:t>Bali Process has effectively raised regional awareness of the consequences of people smuggling, trafficking in persons and related transnational crime. It is a forum for policy dialogue, information sharing and practical cooperation to help the region address these challenges.</w:t>
            </w:r>
          </w:p>
        </w:tc>
        <w:tc>
          <w:tcPr>
            <w:tcW w:w="3060" w:type="dxa"/>
          </w:tcPr>
          <w:p w:rsidR="000C2BB2" w:rsidRDefault="0068109F">
            <w:pPr>
              <w:rPr>
                <w:sz w:val="20"/>
                <w:szCs w:val="20"/>
              </w:rPr>
            </w:pPr>
            <w:hyperlink r:id="rId24" w:history="1">
              <w:r w:rsidRPr="002333E4">
                <w:rPr>
                  <w:rStyle w:val="Hyperlink"/>
                  <w:sz w:val="20"/>
                  <w:szCs w:val="20"/>
                </w:rPr>
                <w:t>https://www.baliprocess.net/</w:t>
              </w:r>
            </w:hyperlink>
          </w:p>
          <w:p w:rsidR="0068109F" w:rsidRDefault="0068109F">
            <w:pPr>
              <w:rPr>
                <w:sz w:val="20"/>
                <w:szCs w:val="20"/>
              </w:rPr>
            </w:pPr>
          </w:p>
        </w:tc>
      </w:tr>
      <w:tr w:rsidR="0068109F" w:rsidRPr="00EF1577" w:rsidTr="001116EE">
        <w:tc>
          <w:tcPr>
            <w:tcW w:w="2520" w:type="dxa"/>
          </w:tcPr>
          <w:p w:rsidR="0068109F" w:rsidRPr="000C2BB2" w:rsidRDefault="0068109F" w:rsidP="0068109F">
            <w:pPr>
              <w:pStyle w:val="ListParagraph"/>
              <w:numPr>
                <w:ilvl w:val="0"/>
                <w:numId w:val="1"/>
              </w:numPr>
              <w:ind w:left="440"/>
              <w:rPr>
                <w:sz w:val="20"/>
                <w:szCs w:val="20"/>
              </w:rPr>
            </w:pPr>
            <w:r w:rsidRPr="0068109F">
              <w:rPr>
                <w:sz w:val="20"/>
                <w:szCs w:val="20"/>
              </w:rPr>
              <w:t>EU-Horn of Africa Migration Route Initiative (Khartoum Process)</w:t>
            </w:r>
          </w:p>
        </w:tc>
        <w:tc>
          <w:tcPr>
            <w:tcW w:w="1620" w:type="dxa"/>
          </w:tcPr>
          <w:p w:rsidR="0068109F" w:rsidRPr="0068109F" w:rsidRDefault="0068109F" w:rsidP="000C2BB2">
            <w:pPr>
              <w:rPr>
                <w:sz w:val="20"/>
                <w:szCs w:val="20"/>
              </w:rPr>
            </w:pPr>
            <w:r>
              <w:rPr>
                <w:sz w:val="20"/>
                <w:szCs w:val="20"/>
              </w:rPr>
              <w:t>Inter-regional (Africa-Europe)</w:t>
            </w:r>
          </w:p>
        </w:tc>
        <w:tc>
          <w:tcPr>
            <w:tcW w:w="7110" w:type="dxa"/>
          </w:tcPr>
          <w:p w:rsidR="0068109F" w:rsidRDefault="0068109F" w:rsidP="000C2BB2">
            <w:pPr>
              <w:rPr>
                <w:sz w:val="20"/>
                <w:szCs w:val="20"/>
              </w:rPr>
            </w:pPr>
            <w:r w:rsidRPr="0068109F">
              <w:rPr>
                <w:sz w:val="20"/>
                <w:szCs w:val="20"/>
              </w:rPr>
              <w:t>The Khartoum Process, primarily focused on preventing and fighting migrant smuggling and trafficking in human beings, is an established regional dialogue for enhanced cooperation on migration and mobility and regional collaboration between countries of origin, transit and destination regarding the migration routes between the Horn of Africa and the European Union (EU). The Khartoum Process is a high level, inter-continental political process that harmonizes existing African Union (AU) and EU-led components.</w:t>
            </w:r>
          </w:p>
        </w:tc>
        <w:tc>
          <w:tcPr>
            <w:tcW w:w="3060" w:type="dxa"/>
          </w:tcPr>
          <w:p w:rsidR="0068109F" w:rsidRDefault="0068109F">
            <w:pPr>
              <w:rPr>
                <w:sz w:val="20"/>
                <w:szCs w:val="20"/>
              </w:rPr>
            </w:pPr>
            <w:hyperlink r:id="rId25" w:history="1">
              <w:r w:rsidRPr="002333E4">
                <w:rPr>
                  <w:rStyle w:val="Hyperlink"/>
                  <w:sz w:val="20"/>
                  <w:szCs w:val="20"/>
                </w:rPr>
                <w:t>http://www.iom.int/eu-horn-africa-migration-route-initiative-khartoum-process</w:t>
              </w:r>
            </w:hyperlink>
          </w:p>
          <w:p w:rsidR="0068109F" w:rsidRDefault="0068109F">
            <w:pPr>
              <w:rPr>
                <w:sz w:val="20"/>
                <w:szCs w:val="20"/>
              </w:rPr>
            </w:pPr>
            <w:hyperlink r:id="rId26" w:history="1">
              <w:r w:rsidRPr="002333E4">
                <w:rPr>
                  <w:rStyle w:val="Hyperlink"/>
                  <w:sz w:val="20"/>
                  <w:szCs w:val="20"/>
                </w:rPr>
                <w:t>https://www.khartoumprocess.net/</w:t>
              </w:r>
            </w:hyperlink>
          </w:p>
          <w:p w:rsidR="0068109F" w:rsidRDefault="0068109F">
            <w:pPr>
              <w:rPr>
                <w:sz w:val="20"/>
                <w:szCs w:val="20"/>
              </w:rPr>
            </w:pPr>
          </w:p>
        </w:tc>
      </w:tr>
      <w:tr w:rsidR="0068109F" w:rsidRPr="00EF1577" w:rsidTr="001116EE">
        <w:tc>
          <w:tcPr>
            <w:tcW w:w="2520" w:type="dxa"/>
          </w:tcPr>
          <w:p w:rsidR="0068109F" w:rsidRPr="0068109F" w:rsidRDefault="00D14FBB" w:rsidP="0068109F">
            <w:pPr>
              <w:pStyle w:val="ListParagraph"/>
              <w:numPr>
                <w:ilvl w:val="0"/>
                <w:numId w:val="1"/>
              </w:numPr>
              <w:ind w:left="440"/>
              <w:rPr>
                <w:sz w:val="20"/>
                <w:szCs w:val="20"/>
              </w:rPr>
            </w:pPr>
            <w:r w:rsidRPr="00AD689F">
              <w:rPr>
                <w:sz w:val="20"/>
                <w:szCs w:val="20"/>
              </w:rPr>
              <w:t>Ibero-American Forum on Migr</w:t>
            </w:r>
            <w:r>
              <w:rPr>
                <w:sz w:val="20"/>
                <w:szCs w:val="20"/>
              </w:rPr>
              <w:t>ation and Development</w:t>
            </w:r>
          </w:p>
        </w:tc>
        <w:tc>
          <w:tcPr>
            <w:tcW w:w="1620" w:type="dxa"/>
          </w:tcPr>
          <w:p w:rsidR="0068109F" w:rsidRDefault="00D14FBB" w:rsidP="000C2BB2">
            <w:pPr>
              <w:rPr>
                <w:sz w:val="20"/>
                <w:szCs w:val="20"/>
              </w:rPr>
            </w:pPr>
            <w:r>
              <w:rPr>
                <w:sz w:val="20"/>
                <w:szCs w:val="20"/>
              </w:rPr>
              <w:t>Inter-regional (</w:t>
            </w:r>
            <w:r w:rsidRPr="00D14FBB">
              <w:rPr>
                <w:sz w:val="20"/>
                <w:szCs w:val="20"/>
              </w:rPr>
              <w:t>Americas – Europe</w:t>
            </w:r>
            <w:r>
              <w:rPr>
                <w:sz w:val="20"/>
                <w:szCs w:val="20"/>
              </w:rPr>
              <w:t>)</w:t>
            </w:r>
          </w:p>
        </w:tc>
        <w:tc>
          <w:tcPr>
            <w:tcW w:w="7110" w:type="dxa"/>
          </w:tcPr>
          <w:p w:rsidR="0068109F" w:rsidRPr="0068109F" w:rsidRDefault="00AD689F" w:rsidP="000C2BB2">
            <w:pPr>
              <w:rPr>
                <w:sz w:val="20"/>
                <w:szCs w:val="20"/>
              </w:rPr>
            </w:pPr>
            <w:r w:rsidRPr="00AD689F">
              <w:rPr>
                <w:sz w:val="20"/>
                <w:szCs w:val="20"/>
              </w:rPr>
              <w:t>The Ibero-American Forum on Migr</w:t>
            </w:r>
            <w:r>
              <w:rPr>
                <w:sz w:val="20"/>
                <w:szCs w:val="20"/>
              </w:rPr>
              <w:t xml:space="preserve">ation and Development (FIBEMYD) </w:t>
            </w:r>
            <w:r w:rsidRPr="00AD689F">
              <w:rPr>
                <w:sz w:val="20"/>
                <w:szCs w:val="20"/>
              </w:rPr>
              <w:t>is a pillar of the Ibero-American Conference.  FIBEMYD was established as a space to exchange good practices and coordinate consensus and actions shared by the Ibero-American nations and to put into action the decisions made by the Heads of States and Governments at the Fifteenth, Sixteenth and Seventeenth Ibero-American Summits, including the Commitment of Montevideo on Migration and Development and the Declaration of Salamanca.  Its common goal is to reach a common understanding on the principal impact of the crisis on migration and development with the aim of identifying priority programs and projects to mitigate its effects in Ibero-America.</w:t>
            </w:r>
          </w:p>
        </w:tc>
        <w:tc>
          <w:tcPr>
            <w:tcW w:w="3060" w:type="dxa"/>
          </w:tcPr>
          <w:p w:rsidR="0068109F" w:rsidRDefault="00D14FBB">
            <w:pPr>
              <w:rPr>
                <w:sz w:val="20"/>
                <w:szCs w:val="20"/>
              </w:rPr>
            </w:pPr>
            <w:hyperlink r:id="rId27" w:history="1">
              <w:r w:rsidRPr="002333E4">
                <w:rPr>
                  <w:rStyle w:val="Hyperlink"/>
                  <w:sz w:val="20"/>
                  <w:szCs w:val="20"/>
                </w:rPr>
                <w:t>http://segib.org/</w:t>
              </w:r>
            </w:hyperlink>
          </w:p>
          <w:p w:rsidR="00D14FBB" w:rsidRDefault="00D14FBB">
            <w:pPr>
              <w:rPr>
                <w:sz w:val="20"/>
                <w:szCs w:val="20"/>
              </w:rPr>
            </w:pPr>
          </w:p>
        </w:tc>
      </w:tr>
      <w:tr w:rsidR="00D14FBB" w:rsidRPr="00EF1577" w:rsidTr="001116EE">
        <w:tc>
          <w:tcPr>
            <w:tcW w:w="2520" w:type="dxa"/>
          </w:tcPr>
          <w:p w:rsidR="00D14FBB" w:rsidRPr="00AD689F" w:rsidRDefault="00D14FBB" w:rsidP="00D14FBB">
            <w:pPr>
              <w:pStyle w:val="ListParagraph"/>
              <w:numPr>
                <w:ilvl w:val="0"/>
                <w:numId w:val="1"/>
              </w:numPr>
              <w:ind w:left="430"/>
              <w:rPr>
                <w:sz w:val="20"/>
                <w:szCs w:val="20"/>
              </w:rPr>
            </w:pPr>
            <w:r w:rsidRPr="00D14FBB">
              <w:rPr>
                <w:sz w:val="20"/>
                <w:szCs w:val="20"/>
              </w:rPr>
              <w:t>Intergovernmental consultations on migration asylum and refugees (IGC)</w:t>
            </w:r>
          </w:p>
        </w:tc>
        <w:tc>
          <w:tcPr>
            <w:tcW w:w="1620" w:type="dxa"/>
          </w:tcPr>
          <w:p w:rsidR="00D14FBB" w:rsidRDefault="00D14FBB" w:rsidP="000C2BB2">
            <w:pPr>
              <w:rPr>
                <w:sz w:val="20"/>
                <w:szCs w:val="20"/>
              </w:rPr>
            </w:pPr>
            <w:r>
              <w:rPr>
                <w:sz w:val="20"/>
                <w:szCs w:val="20"/>
              </w:rPr>
              <w:t>Inter-regional (</w:t>
            </w:r>
            <w:r w:rsidRPr="00D14FBB">
              <w:rPr>
                <w:sz w:val="20"/>
                <w:szCs w:val="20"/>
              </w:rPr>
              <w:t>Europe – Asia – Americas</w:t>
            </w:r>
            <w:r>
              <w:rPr>
                <w:sz w:val="20"/>
                <w:szCs w:val="20"/>
              </w:rPr>
              <w:t>)</w:t>
            </w:r>
          </w:p>
        </w:tc>
        <w:tc>
          <w:tcPr>
            <w:tcW w:w="7110" w:type="dxa"/>
          </w:tcPr>
          <w:p w:rsidR="00D14FBB" w:rsidRPr="00AD689F" w:rsidRDefault="00D14FBB" w:rsidP="00D14FBB">
            <w:pPr>
              <w:rPr>
                <w:sz w:val="20"/>
                <w:szCs w:val="20"/>
              </w:rPr>
            </w:pPr>
            <w:r w:rsidRPr="00D14FBB">
              <w:rPr>
                <w:sz w:val="20"/>
                <w:szCs w:val="20"/>
              </w:rPr>
              <w:t>The IGC is an informal, non-decision making forum for intergovernmental information exchange and policy debate on issues of relevance to the management of international migratory flows.</w:t>
            </w:r>
            <w:r>
              <w:rPr>
                <w:sz w:val="20"/>
                <w:szCs w:val="20"/>
              </w:rPr>
              <w:t xml:space="preserve"> </w:t>
            </w:r>
            <w:r w:rsidRPr="00D14FBB">
              <w:rPr>
                <w:sz w:val="20"/>
                <w:szCs w:val="20"/>
              </w:rPr>
              <w:t>IGC engages on issues across the migration spectrum and supports strategic thinking and the development of policy options by:</w:t>
            </w:r>
            <w:r>
              <w:rPr>
                <w:sz w:val="20"/>
                <w:szCs w:val="20"/>
              </w:rPr>
              <w:t xml:space="preserve"> </w:t>
            </w:r>
            <w:r w:rsidRPr="00D14FBB">
              <w:rPr>
                <w:sz w:val="20"/>
                <w:szCs w:val="20"/>
              </w:rPr>
              <w:t>organising meetings, roughly 20 senior official and expert meetings per year,</w:t>
            </w:r>
            <w:r>
              <w:rPr>
                <w:sz w:val="20"/>
                <w:szCs w:val="20"/>
              </w:rPr>
              <w:t xml:space="preserve"> </w:t>
            </w:r>
            <w:r w:rsidRPr="00D14FBB">
              <w:rPr>
                <w:sz w:val="20"/>
                <w:szCs w:val="20"/>
              </w:rPr>
              <w:t>fostering policy and operational expert networks across the globe,</w:t>
            </w:r>
            <w:r>
              <w:rPr>
                <w:sz w:val="20"/>
                <w:szCs w:val="20"/>
              </w:rPr>
              <w:t xml:space="preserve"> etc.</w:t>
            </w:r>
          </w:p>
        </w:tc>
        <w:tc>
          <w:tcPr>
            <w:tcW w:w="3060" w:type="dxa"/>
          </w:tcPr>
          <w:p w:rsidR="00D14FBB" w:rsidRDefault="001116EE">
            <w:pPr>
              <w:rPr>
                <w:sz w:val="20"/>
                <w:szCs w:val="20"/>
              </w:rPr>
            </w:pPr>
            <w:hyperlink r:id="rId28" w:history="1">
              <w:r w:rsidRPr="002333E4">
                <w:rPr>
                  <w:rStyle w:val="Hyperlink"/>
                  <w:sz w:val="20"/>
                  <w:szCs w:val="20"/>
                </w:rPr>
                <w:t>https://igc.ch/</w:t>
              </w:r>
            </w:hyperlink>
          </w:p>
          <w:p w:rsidR="001116EE" w:rsidRDefault="001116EE">
            <w:pPr>
              <w:rPr>
                <w:sz w:val="20"/>
                <w:szCs w:val="20"/>
              </w:rPr>
            </w:pPr>
          </w:p>
        </w:tc>
      </w:tr>
      <w:tr w:rsidR="00D14FBB" w:rsidRPr="00EF1577" w:rsidTr="001116EE">
        <w:tc>
          <w:tcPr>
            <w:tcW w:w="2520" w:type="dxa"/>
          </w:tcPr>
          <w:p w:rsidR="00D14FBB" w:rsidRPr="00D14FBB" w:rsidRDefault="00D14FBB" w:rsidP="00D14FBB">
            <w:pPr>
              <w:pStyle w:val="ListParagraph"/>
              <w:numPr>
                <w:ilvl w:val="0"/>
                <w:numId w:val="1"/>
              </w:numPr>
              <w:ind w:left="430"/>
              <w:rPr>
                <w:sz w:val="20"/>
                <w:szCs w:val="20"/>
              </w:rPr>
            </w:pPr>
            <w:r w:rsidRPr="00D14FBB">
              <w:rPr>
                <w:sz w:val="20"/>
                <w:szCs w:val="20"/>
              </w:rPr>
              <w:t>Regional Conference on Migration (RCM) or the Puebla Process</w:t>
            </w:r>
          </w:p>
        </w:tc>
        <w:tc>
          <w:tcPr>
            <w:tcW w:w="1620" w:type="dxa"/>
          </w:tcPr>
          <w:p w:rsidR="00D14FBB" w:rsidRDefault="00D14FBB" w:rsidP="000C2BB2">
            <w:pPr>
              <w:rPr>
                <w:sz w:val="20"/>
                <w:szCs w:val="20"/>
              </w:rPr>
            </w:pPr>
            <w:r>
              <w:rPr>
                <w:sz w:val="20"/>
                <w:szCs w:val="20"/>
              </w:rPr>
              <w:t>Regional (Americas)</w:t>
            </w:r>
          </w:p>
        </w:tc>
        <w:tc>
          <w:tcPr>
            <w:tcW w:w="7110" w:type="dxa"/>
          </w:tcPr>
          <w:p w:rsidR="00D14FBB" w:rsidRPr="00AD689F" w:rsidRDefault="00D14FBB" w:rsidP="000C2BB2">
            <w:pPr>
              <w:rPr>
                <w:sz w:val="20"/>
                <w:szCs w:val="20"/>
              </w:rPr>
            </w:pPr>
            <w:r w:rsidRPr="00D14FBB">
              <w:rPr>
                <w:sz w:val="20"/>
                <w:szCs w:val="20"/>
              </w:rPr>
              <w:t>The Regional Conference on Migration (RCM) or the Puebla Process was established in 1996, as a result of the Tuxtla II Presidential Summit in February 1996, to provide an inter- governmental regional migration forum for the exchange of information, experiences and best practices, and overall consultation to promote regional cooperation on migration within the framework of economic and social development for the region.</w:t>
            </w:r>
          </w:p>
        </w:tc>
        <w:tc>
          <w:tcPr>
            <w:tcW w:w="3060" w:type="dxa"/>
          </w:tcPr>
          <w:p w:rsidR="00D14FBB" w:rsidRDefault="00D14FBB">
            <w:pPr>
              <w:rPr>
                <w:sz w:val="20"/>
                <w:szCs w:val="20"/>
              </w:rPr>
            </w:pPr>
            <w:hyperlink r:id="rId29" w:history="1">
              <w:r w:rsidRPr="002333E4">
                <w:rPr>
                  <w:rStyle w:val="Hyperlink"/>
                  <w:sz w:val="20"/>
                  <w:szCs w:val="20"/>
                </w:rPr>
                <w:t>http://portal.crmsv.org/</w:t>
              </w:r>
            </w:hyperlink>
          </w:p>
          <w:p w:rsidR="00D14FBB" w:rsidRDefault="00D14FBB">
            <w:pPr>
              <w:rPr>
                <w:sz w:val="20"/>
                <w:szCs w:val="20"/>
              </w:rPr>
            </w:pPr>
          </w:p>
        </w:tc>
      </w:tr>
      <w:tr w:rsidR="00D14FBB" w:rsidRPr="00EF1577" w:rsidTr="001116EE">
        <w:tc>
          <w:tcPr>
            <w:tcW w:w="2520" w:type="dxa"/>
          </w:tcPr>
          <w:p w:rsidR="00D14FBB" w:rsidRPr="00D14FBB" w:rsidRDefault="00D14FBB" w:rsidP="00D14FBB">
            <w:pPr>
              <w:pStyle w:val="ListParagraph"/>
              <w:numPr>
                <w:ilvl w:val="0"/>
                <w:numId w:val="1"/>
              </w:numPr>
              <w:ind w:left="430"/>
              <w:rPr>
                <w:sz w:val="20"/>
                <w:szCs w:val="20"/>
              </w:rPr>
            </w:pPr>
            <w:r w:rsidRPr="00D14FBB">
              <w:rPr>
                <w:sz w:val="20"/>
                <w:szCs w:val="20"/>
              </w:rPr>
              <w:t>Colombo Process</w:t>
            </w:r>
          </w:p>
        </w:tc>
        <w:tc>
          <w:tcPr>
            <w:tcW w:w="1620" w:type="dxa"/>
          </w:tcPr>
          <w:p w:rsidR="00D14FBB" w:rsidRDefault="00D14FBB" w:rsidP="000C2BB2">
            <w:pPr>
              <w:rPr>
                <w:sz w:val="20"/>
                <w:szCs w:val="20"/>
              </w:rPr>
            </w:pPr>
            <w:r>
              <w:rPr>
                <w:sz w:val="20"/>
                <w:szCs w:val="20"/>
              </w:rPr>
              <w:t>Regional (Asia and the Pacific)</w:t>
            </w:r>
          </w:p>
        </w:tc>
        <w:tc>
          <w:tcPr>
            <w:tcW w:w="7110" w:type="dxa"/>
          </w:tcPr>
          <w:p w:rsidR="001116EE" w:rsidRPr="00D14FBB" w:rsidRDefault="00D14FBB" w:rsidP="001116EE">
            <w:pPr>
              <w:rPr>
                <w:sz w:val="20"/>
                <w:szCs w:val="20"/>
              </w:rPr>
            </w:pPr>
            <w:r w:rsidRPr="00D14FBB">
              <w:rPr>
                <w:sz w:val="20"/>
                <w:szCs w:val="20"/>
              </w:rPr>
              <w:t xml:space="preserve">The Regional Consultative Process on Overseas Employment and Contractual Labour for Countries of Origin in Asia or the Colombo Process aims to provide a forum for </w:t>
            </w:r>
            <w:r w:rsidRPr="00D14FBB">
              <w:rPr>
                <w:sz w:val="20"/>
                <w:szCs w:val="20"/>
              </w:rPr>
              <w:lastRenderedPageBreak/>
              <w:t>Asian labour-sending countries to:</w:t>
            </w:r>
            <w:r w:rsidR="001116EE">
              <w:rPr>
                <w:sz w:val="20"/>
                <w:szCs w:val="20"/>
              </w:rPr>
              <w:t xml:space="preserve"> </w:t>
            </w:r>
            <w:r w:rsidRPr="00D14FBB">
              <w:rPr>
                <w:sz w:val="20"/>
                <w:szCs w:val="20"/>
              </w:rPr>
              <w:t>Share experiences, lessons learned and best practices on overseas employment;</w:t>
            </w:r>
            <w:r w:rsidR="001116EE">
              <w:rPr>
                <w:sz w:val="20"/>
                <w:szCs w:val="20"/>
              </w:rPr>
              <w:t xml:space="preserve"> </w:t>
            </w:r>
            <w:r w:rsidRPr="00D14FBB">
              <w:rPr>
                <w:sz w:val="20"/>
                <w:szCs w:val="20"/>
              </w:rPr>
              <w:t>Consult on issues faced by overseas workers, labour sending and receiving states, and propose practical solutions for the well-being</w:t>
            </w:r>
            <w:r w:rsidR="001116EE">
              <w:rPr>
                <w:sz w:val="20"/>
                <w:szCs w:val="20"/>
              </w:rPr>
              <w:t xml:space="preserve"> of vulnerable overseas workers, etc.</w:t>
            </w:r>
          </w:p>
          <w:p w:rsidR="00D14FBB" w:rsidRPr="00D14FBB" w:rsidRDefault="00D14FBB" w:rsidP="00D14FBB">
            <w:pPr>
              <w:rPr>
                <w:sz w:val="20"/>
                <w:szCs w:val="20"/>
              </w:rPr>
            </w:pPr>
          </w:p>
        </w:tc>
        <w:tc>
          <w:tcPr>
            <w:tcW w:w="3060" w:type="dxa"/>
          </w:tcPr>
          <w:p w:rsidR="00D14FBB" w:rsidRDefault="001116EE">
            <w:pPr>
              <w:rPr>
                <w:sz w:val="20"/>
                <w:szCs w:val="20"/>
              </w:rPr>
            </w:pPr>
            <w:hyperlink r:id="rId30" w:history="1">
              <w:r w:rsidRPr="002333E4">
                <w:rPr>
                  <w:rStyle w:val="Hyperlink"/>
                  <w:sz w:val="20"/>
                  <w:szCs w:val="20"/>
                </w:rPr>
                <w:t>http://www.colomboprocess.org/</w:t>
              </w:r>
            </w:hyperlink>
          </w:p>
          <w:p w:rsidR="001116EE" w:rsidRDefault="001116EE">
            <w:pPr>
              <w:rPr>
                <w:sz w:val="20"/>
                <w:szCs w:val="20"/>
              </w:rPr>
            </w:pPr>
          </w:p>
        </w:tc>
      </w:tr>
      <w:tr w:rsidR="001116EE" w:rsidRPr="00EF1577" w:rsidTr="001116EE">
        <w:tc>
          <w:tcPr>
            <w:tcW w:w="2520" w:type="dxa"/>
          </w:tcPr>
          <w:p w:rsidR="001116EE" w:rsidRPr="00D14FBB" w:rsidRDefault="00701B14" w:rsidP="00701B14">
            <w:pPr>
              <w:pStyle w:val="ListParagraph"/>
              <w:numPr>
                <w:ilvl w:val="0"/>
                <w:numId w:val="1"/>
              </w:numPr>
              <w:ind w:left="430"/>
              <w:rPr>
                <w:sz w:val="20"/>
                <w:szCs w:val="20"/>
              </w:rPr>
            </w:pPr>
            <w:r w:rsidRPr="00701B14">
              <w:rPr>
                <w:sz w:val="20"/>
                <w:szCs w:val="20"/>
              </w:rPr>
              <w:t>Intergovernmental Authority on Development Regional Consultative Process on Migration (IGAD-RCP)</w:t>
            </w:r>
          </w:p>
        </w:tc>
        <w:tc>
          <w:tcPr>
            <w:tcW w:w="1620" w:type="dxa"/>
          </w:tcPr>
          <w:p w:rsidR="001116EE" w:rsidRDefault="00701B14" w:rsidP="000C2BB2">
            <w:pPr>
              <w:rPr>
                <w:sz w:val="20"/>
                <w:szCs w:val="20"/>
              </w:rPr>
            </w:pPr>
            <w:r>
              <w:rPr>
                <w:sz w:val="20"/>
                <w:szCs w:val="20"/>
              </w:rPr>
              <w:t>Regional (Africa)</w:t>
            </w:r>
          </w:p>
        </w:tc>
        <w:tc>
          <w:tcPr>
            <w:tcW w:w="7110" w:type="dxa"/>
          </w:tcPr>
          <w:p w:rsidR="001116EE" w:rsidRPr="00D14FBB" w:rsidRDefault="00701B14" w:rsidP="001116EE">
            <w:pPr>
              <w:rPr>
                <w:sz w:val="20"/>
                <w:szCs w:val="20"/>
              </w:rPr>
            </w:pPr>
            <w:r w:rsidRPr="00701B14">
              <w:rPr>
                <w:sz w:val="20"/>
                <w:szCs w:val="20"/>
              </w:rPr>
              <w:t>The Intergovernmental Authority on Development Regional Consultative Process on Migration or IGAD-RCP (also known as the Migration Dialogue for the IGAD Region or MiD-IGAD) aims to promote the common position of the IGAD Member States and African Union (AU) as provided in the AU's Migration Policy Framework.</w:t>
            </w:r>
          </w:p>
        </w:tc>
        <w:tc>
          <w:tcPr>
            <w:tcW w:w="3060" w:type="dxa"/>
          </w:tcPr>
          <w:p w:rsidR="00701B14" w:rsidRDefault="00701B14">
            <w:pPr>
              <w:rPr>
                <w:sz w:val="20"/>
                <w:szCs w:val="20"/>
              </w:rPr>
            </w:pPr>
            <w:hyperlink r:id="rId31" w:history="1">
              <w:r w:rsidRPr="002333E4">
                <w:rPr>
                  <w:rStyle w:val="Hyperlink"/>
                  <w:sz w:val="20"/>
                  <w:szCs w:val="20"/>
                </w:rPr>
                <w:t>https://www.iom.int/intergovernmental-authority-development-regional-consultative-process-migration-igad-rcp</w:t>
              </w:r>
            </w:hyperlink>
          </w:p>
          <w:p w:rsidR="00701B14" w:rsidRDefault="00701B14">
            <w:pPr>
              <w:rPr>
                <w:sz w:val="20"/>
                <w:szCs w:val="20"/>
              </w:rPr>
            </w:pPr>
            <w:hyperlink r:id="rId32" w:history="1">
              <w:r w:rsidRPr="002333E4">
                <w:rPr>
                  <w:rStyle w:val="Hyperlink"/>
                  <w:sz w:val="20"/>
                  <w:szCs w:val="20"/>
                </w:rPr>
                <w:t>https://igad.int/index.php?option=com_content&amp;view=category&amp;layout=blog&amp;id=63&amp;Itemid=159</w:t>
              </w:r>
            </w:hyperlink>
          </w:p>
          <w:p w:rsidR="00701B14" w:rsidRDefault="00701B14">
            <w:pPr>
              <w:rPr>
                <w:sz w:val="20"/>
                <w:szCs w:val="20"/>
              </w:rPr>
            </w:pPr>
          </w:p>
        </w:tc>
      </w:tr>
      <w:tr w:rsidR="00701B14" w:rsidRPr="00EF1577" w:rsidTr="001116EE">
        <w:tc>
          <w:tcPr>
            <w:tcW w:w="2520" w:type="dxa"/>
          </w:tcPr>
          <w:p w:rsidR="00701B14" w:rsidRPr="00701B14" w:rsidRDefault="00701B14" w:rsidP="00701B14">
            <w:pPr>
              <w:pStyle w:val="ListParagraph"/>
              <w:numPr>
                <w:ilvl w:val="0"/>
                <w:numId w:val="1"/>
              </w:numPr>
              <w:ind w:left="430"/>
              <w:rPr>
                <w:sz w:val="20"/>
                <w:szCs w:val="20"/>
              </w:rPr>
            </w:pPr>
            <w:r w:rsidRPr="00701B14">
              <w:rPr>
                <w:sz w:val="20"/>
                <w:szCs w:val="20"/>
              </w:rPr>
              <w:t>The Pacific Immigration Directors’ Conference (PIDC)</w:t>
            </w:r>
          </w:p>
        </w:tc>
        <w:tc>
          <w:tcPr>
            <w:tcW w:w="1620" w:type="dxa"/>
          </w:tcPr>
          <w:p w:rsidR="00701B14" w:rsidRDefault="00701B14" w:rsidP="000C2BB2">
            <w:pPr>
              <w:rPr>
                <w:sz w:val="20"/>
                <w:szCs w:val="20"/>
              </w:rPr>
            </w:pPr>
            <w:r>
              <w:rPr>
                <w:sz w:val="20"/>
                <w:szCs w:val="20"/>
              </w:rPr>
              <w:t>Regional (Asia and the Pacific)</w:t>
            </w:r>
          </w:p>
        </w:tc>
        <w:tc>
          <w:tcPr>
            <w:tcW w:w="7110" w:type="dxa"/>
          </w:tcPr>
          <w:p w:rsidR="00701B14" w:rsidRPr="00701B14" w:rsidRDefault="00701B14" w:rsidP="001116EE">
            <w:pPr>
              <w:rPr>
                <w:sz w:val="20"/>
                <w:szCs w:val="20"/>
              </w:rPr>
            </w:pPr>
            <w:r w:rsidRPr="00701B14">
              <w:rPr>
                <w:sz w:val="20"/>
                <w:szCs w:val="20"/>
              </w:rPr>
              <w:t>The Pacific Immigration Directors’ Conference (PIDC) is a forum for official immigration agencies of the Pacific Region, enabling the Heads of the Participating States’ immigration agencies to discuss issues of mutual interest and to foster multilateral co-operation to strengthen the members' territorial borders and the integrity of their entry systems with the ultimate goal to build and enhance quality immigration and border management practices across the Pacific region.</w:t>
            </w:r>
          </w:p>
        </w:tc>
        <w:tc>
          <w:tcPr>
            <w:tcW w:w="3060" w:type="dxa"/>
          </w:tcPr>
          <w:p w:rsidR="00701B14" w:rsidRDefault="00701B14">
            <w:pPr>
              <w:rPr>
                <w:sz w:val="20"/>
                <w:szCs w:val="20"/>
              </w:rPr>
            </w:pPr>
            <w:hyperlink r:id="rId33" w:history="1">
              <w:r w:rsidRPr="002333E4">
                <w:rPr>
                  <w:rStyle w:val="Hyperlink"/>
                  <w:sz w:val="20"/>
                  <w:szCs w:val="20"/>
                </w:rPr>
                <w:t>https://www.pidcsec.org/</w:t>
              </w:r>
            </w:hyperlink>
          </w:p>
          <w:p w:rsidR="00701B14" w:rsidRDefault="00701B14">
            <w:pPr>
              <w:rPr>
                <w:sz w:val="20"/>
                <w:szCs w:val="20"/>
              </w:rPr>
            </w:pPr>
            <w:hyperlink r:id="rId34" w:history="1">
              <w:r w:rsidRPr="002333E4">
                <w:rPr>
                  <w:rStyle w:val="Hyperlink"/>
                  <w:sz w:val="20"/>
                  <w:szCs w:val="20"/>
                </w:rPr>
                <w:t>https://www.iom.int/pacific-immigration-directors-conference-pidc</w:t>
              </w:r>
            </w:hyperlink>
          </w:p>
          <w:p w:rsidR="00701B14" w:rsidRDefault="00701B14">
            <w:pPr>
              <w:rPr>
                <w:sz w:val="20"/>
                <w:szCs w:val="20"/>
              </w:rPr>
            </w:pPr>
          </w:p>
        </w:tc>
      </w:tr>
      <w:tr w:rsidR="00701B14" w:rsidRPr="00EF1577" w:rsidTr="001116EE">
        <w:tc>
          <w:tcPr>
            <w:tcW w:w="2520" w:type="dxa"/>
          </w:tcPr>
          <w:p w:rsidR="00701B14" w:rsidRPr="00701B14" w:rsidRDefault="00701B14" w:rsidP="00701B14">
            <w:pPr>
              <w:pStyle w:val="ListParagraph"/>
              <w:numPr>
                <w:ilvl w:val="0"/>
                <w:numId w:val="1"/>
              </w:numPr>
              <w:ind w:left="340"/>
              <w:rPr>
                <w:sz w:val="20"/>
                <w:szCs w:val="20"/>
              </w:rPr>
            </w:pPr>
            <w:r w:rsidRPr="00701B14">
              <w:rPr>
                <w:sz w:val="20"/>
                <w:szCs w:val="20"/>
              </w:rPr>
              <w:t>Arab Regional Consultative Process on Migration and Refugees Affairs</w:t>
            </w:r>
          </w:p>
        </w:tc>
        <w:tc>
          <w:tcPr>
            <w:tcW w:w="1620" w:type="dxa"/>
          </w:tcPr>
          <w:p w:rsidR="00701B14" w:rsidRDefault="00701B14" w:rsidP="000C2BB2">
            <w:pPr>
              <w:rPr>
                <w:sz w:val="20"/>
                <w:szCs w:val="20"/>
              </w:rPr>
            </w:pPr>
            <w:r>
              <w:rPr>
                <w:sz w:val="20"/>
                <w:szCs w:val="20"/>
              </w:rPr>
              <w:t>Regional (Middle East)</w:t>
            </w:r>
          </w:p>
        </w:tc>
        <w:tc>
          <w:tcPr>
            <w:tcW w:w="7110" w:type="dxa"/>
          </w:tcPr>
          <w:p w:rsidR="00701B14" w:rsidRPr="00701B14" w:rsidRDefault="00701B14" w:rsidP="001116EE">
            <w:pPr>
              <w:rPr>
                <w:sz w:val="20"/>
                <w:szCs w:val="20"/>
              </w:rPr>
            </w:pPr>
            <w:r w:rsidRPr="00701B14">
              <w:rPr>
                <w:sz w:val="20"/>
                <w:szCs w:val="20"/>
              </w:rPr>
              <w:t>The ARCP brings together the countries from the Arab Region with a view to tackling questions arising from migration issues. It is considered as an Arab platform to discuss issues of international migration, and work on: strengthening cooperation between the participating countries and working towards a more profound understanding of migration issues in the Arab region,  promoting a common understanding about the causes, dimensions, patterns and effects of migration and its future trends in the Arab region</w:t>
            </w:r>
            <w:r>
              <w:rPr>
                <w:sz w:val="20"/>
                <w:szCs w:val="20"/>
              </w:rPr>
              <w:t>.</w:t>
            </w:r>
          </w:p>
        </w:tc>
        <w:tc>
          <w:tcPr>
            <w:tcW w:w="3060" w:type="dxa"/>
          </w:tcPr>
          <w:p w:rsidR="00701B14" w:rsidRDefault="00701B14">
            <w:pPr>
              <w:rPr>
                <w:sz w:val="20"/>
                <w:szCs w:val="20"/>
              </w:rPr>
            </w:pPr>
            <w:hyperlink r:id="rId35" w:history="1">
              <w:r w:rsidRPr="002333E4">
                <w:rPr>
                  <w:rStyle w:val="Hyperlink"/>
                  <w:sz w:val="20"/>
                  <w:szCs w:val="20"/>
                </w:rPr>
                <w:t>https://www.iom.int/arab-regional-consultative-process</w:t>
              </w:r>
            </w:hyperlink>
          </w:p>
          <w:p w:rsidR="00701B14" w:rsidRDefault="00701B14">
            <w:pPr>
              <w:rPr>
                <w:sz w:val="20"/>
                <w:szCs w:val="20"/>
              </w:rPr>
            </w:pPr>
            <w:hyperlink r:id="rId36" w:history="1">
              <w:r w:rsidRPr="002333E4">
                <w:rPr>
                  <w:rStyle w:val="Hyperlink"/>
                  <w:sz w:val="20"/>
                  <w:szCs w:val="20"/>
                </w:rPr>
                <w:t>www.lasportal.org</w:t>
              </w:r>
            </w:hyperlink>
          </w:p>
          <w:p w:rsidR="00701B14" w:rsidRDefault="00701B14">
            <w:pPr>
              <w:rPr>
                <w:sz w:val="20"/>
                <w:szCs w:val="20"/>
              </w:rPr>
            </w:pPr>
          </w:p>
        </w:tc>
      </w:tr>
    </w:tbl>
    <w:p w:rsidR="00990407" w:rsidRPr="00701B14" w:rsidRDefault="00990407">
      <w:pPr>
        <w:rPr>
          <w:sz w:val="20"/>
          <w:szCs w:val="20"/>
        </w:rPr>
      </w:pPr>
    </w:p>
    <w:sectPr w:rsidR="00990407" w:rsidRPr="00701B14" w:rsidSect="001116EE">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4D10"/>
    <w:multiLevelType w:val="hybridMultilevel"/>
    <w:tmpl w:val="544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E3798"/>
    <w:multiLevelType w:val="hybridMultilevel"/>
    <w:tmpl w:val="544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07"/>
    <w:rsid w:val="00040272"/>
    <w:rsid w:val="000C2BB2"/>
    <w:rsid w:val="001116EE"/>
    <w:rsid w:val="003A2FE1"/>
    <w:rsid w:val="0046608A"/>
    <w:rsid w:val="004763DE"/>
    <w:rsid w:val="005810B5"/>
    <w:rsid w:val="005E233A"/>
    <w:rsid w:val="005F129A"/>
    <w:rsid w:val="0068109F"/>
    <w:rsid w:val="00701B14"/>
    <w:rsid w:val="008D5261"/>
    <w:rsid w:val="00964BB1"/>
    <w:rsid w:val="00990407"/>
    <w:rsid w:val="00AD689F"/>
    <w:rsid w:val="00B00D8E"/>
    <w:rsid w:val="00B6582C"/>
    <w:rsid w:val="00BB4603"/>
    <w:rsid w:val="00D14FBB"/>
    <w:rsid w:val="00D92342"/>
    <w:rsid w:val="00E43E02"/>
    <w:rsid w:val="00EF1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4A77"/>
  <w15:chartTrackingRefBased/>
  <w15:docId w15:val="{E6137382-2E16-451F-8797-FBA57228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09F"/>
  </w:style>
  <w:style w:type="paragraph" w:styleId="Heading1">
    <w:name w:val="heading 1"/>
    <w:basedOn w:val="Normal"/>
    <w:next w:val="Normal"/>
    <w:link w:val="Heading1Char"/>
    <w:uiPriority w:val="9"/>
    <w:qFormat/>
    <w:rsid w:val="0068109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8109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8109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8109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8109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8109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8109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8109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8109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82C"/>
    <w:pPr>
      <w:ind w:left="720"/>
      <w:contextualSpacing/>
    </w:pPr>
  </w:style>
  <w:style w:type="character" w:styleId="Hyperlink">
    <w:name w:val="Hyperlink"/>
    <w:basedOn w:val="DefaultParagraphFont"/>
    <w:uiPriority w:val="99"/>
    <w:unhideWhenUsed/>
    <w:rsid w:val="005810B5"/>
    <w:rPr>
      <w:color w:val="0563C1" w:themeColor="hyperlink"/>
      <w:u w:val="single"/>
    </w:rPr>
  </w:style>
  <w:style w:type="character" w:styleId="UnresolvedMention">
    <w:name w:val="Unresolved Mention"/>
    <w:basedOn w:val="DefaultParagraphFont"/>
    <w:uiPriority w:val="99"/>
    <w:semiHidden/>
    <w:unhideWhenUsed/>
    <w:rsid w:val="005810B5"/>
    <w:rPr>
      <w:color w:val="808080"/>
      <w:shd w:val="clear" w:color="auto" w:fill="E6E6E6"/>
    </w:rPr>
  </w:style>
  <w:style w:type="character" w:customStyle="1" w:styleId="Heading1Char">
    <w:name w:val="Heading 1 Char"/>
    <w:basedOn w:val="DefaultParagraphFont"/>
    <w:link w:val="Heading1"/>
    <w:uiPriority w:val="9"/>
    <w:rsid w:val="0068109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8109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8109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8109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8109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8109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8109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8109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8109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8109F"/>
    <w:pPr>
      <w:spacing w:line="240" w:lineRule="auto"/>
    </w:pPr>
    <w:rPr>
      <w:b/>
      <w:bCs/>
      <w:smallCaps/>
      <w:color w:val="595959" w:themeColor="text1" w:themeTint="A6"/>
    </w:rPr>
  </w:style>
  <w:style w:type="paragraph" w:styleId="Title">
    <w:name w:val="Title"/>
    <w:basedOn w:val="Normal"/>
    <w:next w:val="Normal"/>
    <w:link w:val="TitleChar"/>
    <w:uiPriority w:val="10"/>
    <w:qFormat/>
    <w:rsid w:val="0068109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8109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8109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8109F"/>
    <w:rPr>
      <w:rFonts w:asciiTheme="majorHAnsi" w:eastAsiaTheme="majorEastAsia" w:hAnsiTheme="majorHAnsi" w:cstheme="majorBidi"/>
      <w:sz w:val="30"/>
      <w:szCs w:val="30"/>
    </w:rPr>
  </w:style>
  <w:style w:type="character" w:styleId="Strong">
    <w:name w:val="Strong"/>
    <w:basedOn w:val="DefaultParagraphFont"/>
    <w:uiPriority w:val="22"/>
    <w:qFormat/>
    <w:rsid w:val="0068109F"/>
    <w:rPr>
      <w:b/>
      <w:bCs/>
    </w:rPr>
  </w:style>
  <w:style w:type="character" w:styleId="Emphasis">
    <w:name w:val="Emphasis"/>
    <w:basedOn w:val="DefaultParagraphFont"/>
    <w:uiPriority w:val="20"/>
    <w:qFormat/>
    <w:rsid w:val="0068109F"/>
    <w:rPr>
      <w:i/>
      <w:iCs/>
      <w:color w:val="70AD47" w:themeColor="accent6"/>
    </w:rPr>
  </w:style>
  <w:style w:type="paragraph" w:styleId="NoSpacing">
    <w:name w:val="No Spacing"/>
    <w:uiPriority w:val="1"/>
    <w:qFormat/>
    <w:rsid w:val="0068109F"/>
    <w:pPr>
      <w:spacing w:after="0" w:line="240" w:lineRule="auto"/>
    </w:pPr>
  </w:style>
  <w:style w:type="paragraph" w:styleId="Quote">
    <w:name w:val="Quote"/>
    <w:basedOn w:val="Normal"/>
    <w:next w:val="Normal"/>
    <w:link w:val="QuoteChar"/>
    <w:uiPriority w:val="29"/>
    <w:qFormat/>
    <w:rsid w:val="0068109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8109F"/>
    <w:rPr>
      <w:i/>
      <w:iCs/>
      <w:color w:val="262626" w:themeColor="text1" w:themeTint="D9"/>
    </w:rPr>
  </w:style>
  <w:style w:type="paragraph" w:styleId="IntenseQuote">
    <w:name w:val="Intense Quote"/>
    <w:basedOn w:val="Normal"/>
    <w:next w:val="Normal"/>
    <w:link w:val="IntenseQuoteChar"/>
    <w:uiPriority w:val="30"/>
    <w:qFormat/>
    <w:rsid w:val="0068109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8109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8109F"/>
    <w:rPr>
      <w:i/>
      <w:iCs/>
    </w:rPr>
  </w:style>
  <w:style w:type="character" w:styleId="IntenseEmphasis">
    <w:name w:val="Intense Emphasis"/>
    <w:basedOn w:val="DefaultParagraphFont"/>
    <w:uiPriority w:val="21"/>
    <w:qFormat/>
    <w:rsid w:val="0068109F"/>
    <w:rPr>
      <w:b/>
      <w:bCs/>
      <w:i/>
      <w:iCs/>
    </w:rPr>
  </w:style>
  <w:style w:type="character" w:styleId="SubtleReference">
    <w:name w:val="Subtle Reference"/>
    <w:basedOn w:val="DefaultParagraphFont"/>
    <w:uiPriority w:val="31"/>
    <w:qFormat/>
    <w:rsid w:val="0068109F"/>
    <w:rPr>
      <w:smallCaps/>
      <w:color w:val="595959" w:themeColor="text1" w:themeTint="A6"/>
    </w:rPr>
  </w:style>
  <w:style w:type="character" w:styleId="IntenseReference">
    <w:name w:val="Intense Reference"/>
    <w:basedOn w:val="DefaultParagraphFont"/>
    <w:uiPriority w:val="32"/>
    <w:qFormat/>
    <w:rsid w:val="0068109F"/>
    <w:rPr>
      <w:b/>
      <w:bCs/>
      <w:smallCaps/>
      <w:color w:val="70AD47" w:themeColor="accent6"/>
    </w:rPr>
  </w:style>
  <w:style w:type="character" w:styleId="BookTitle">
    <w:name w:val="Book Title"/>
    <w:basedOn w:val="DefaultParagraphFont"/>
    <w:uiPriority w:val="33"/>
    <w:qFormat/>
    <w:rsid w:val="0068109F"/>
    <w:rPr>
      <w:b/>
      <w:bCs/>
      <w:caps w:val="0"/>
      <w:smallCaps/>
      <w:spacing w:val="7"/>
      <w:sz w:val="21"/>
      <w:szCs w:val="21"/>
    </w:rPr>
  </w:style>
  <w:style w:type="paragraph" w:styleId="TOCHeading">
    <w:name w:val="TOC Heading"/>
    <w:basedOn w:val="Heading1"/>
    <w:next w:val="Normal"/>
    <w:uiPriority w:val="39"/>
    <w:semiHidden/>
    <w:unhideWhenUsed/>
    <w:qFormat/>
    <w:rsid w:val="006810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3180">
      <w:bodyDiv w:val="1"/>
      <w:marLeft w:val="0"/>
      <w:marRight w:val="0"/>
      <w:marTop w:val="0"/>
      <w:marBottom w:val="0"/>
      <w:divBdr>
        <w:top w:val="none" w:sz="0" w:space="0" w:color="auto"/>
        <w:left w:val="none" w:sz="0" w:space="0" w:color="auto"/>
        <w:bottom w:val="none" w:sz="0" w:space="0" w:color="auto"/>
        <w:right w:val="none" w:sz="0" w:space="0" w:color="auto"/>
      </w:divBdr>
    </w:div>
    <w:div w:id="900484133">
      <w:bodyDiv w:val="1"/>
      <w:marLeft w:val="0"/>
      <w:marRight w:val="0"/>
      <w:marTop w:val="0"/>
      <w:marBottom w:val="0"/>
      <w:divBdr>
        <w:top w:val="none" w:sz="0" w:space="0" w:color="auto"/>
        <w:left w:val="none" w:sz="0" w:space="0" w:color="auto"/>
        <w:bottom w:val="none" w:sz="0" w:space="0" w:color="auto"/>
        <w:right w:val="none" w:sz="0" w:space="0" w:color="auto"/>
      </w:divBdr>
    </w:div>
    <w:div w:id="1156647694">
      <w:bodyDiv w:val="1"/>
      <w:marLeft w:val="0"/>
      <w:marRight w:val="0"/>
      <w:marTop w:val="0"/>
      <w:marBottom w:val="0"/>
      <w:divBdr>
        <w:top w:val="none" w:sz="0" w:space="0" w:color="auto"/>
        <w:left w:val="none" w:sz="0" w:space="0" w:color="auto"/>
        <w:bottom w:val="none" w:sz="0" w:space="0" w:color="auto"/>
        <w:right w:val="none" w:sz="0" w:space="0" w:color="auto"/>
      </w:divBdr>
    </w:div>
    <w:div w:id="1384021190">
      <w:bodyDiv w:val="1"/>
      <w:marLeft w:val="0"/>
      <w:marRight w:val="0"/>
      <w:marTop w:val="0"/>
      <w:marBottom w:val="0"/>
      <w:divBdr>
        <w:top w:val="none" w:sz="0" w:space="0" w:color="auto"/>
        <w:left w:val="none" w:sz="0" w:space="0" w:color="auto"/>
        <w:bottom w:val="none" w:sz="0" w:space="0" w:color="auto"/>
        <w:right w:val="none" w:sz="0" w:space="0" w:color="auto"/>
      </w:divBdr>
    </w:div>
    <w:div w:id="18372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icinitiative.iom.int/repository-practices" TargetMode="External"/><Relationship Id="rId13" Type="http://schemas.openxmlformats.org/officeDocument/2006/relationships/hyperlink" Target="https://refugeesmigrants.un.org/"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hyperlink" Target="https://www.khartoumprocess.net/" TargetMode="External"/><Relationship Id="rId3" Type="http://schemas.openxmlformats.org/officeDocument/2006/relationships/settings" Target="settings.xml"/><Relationship Id="rId21" Type="http://schemas.openxmlformats.org/officeDocument/2006/relationships/hyperlink" Target="https://sustainabledevelopment.un.org/hlpf" TargetMode="External"/><Relationship Id="rId34" Type="http://schemas.openxmlformats.org/officeDocument/2006/relationships/hyperlink" Target="https://www.iom.int/pacific-immigration-directors-conference-pidc" TargetMode="External"/><Relationship Id="rId7" Type="http://schemas.openxmlformats.org/officeDocument/2006/relationships/hyperlink" Target="http://www.facebook.com/migrationdataportal" TargetMode="External"/><Relationship Id="rId12" Type="http://schemas.openxmlformats.org/officeDocument/2006/relationships/hyperlink" Target="https://twitter.com/JMDI_M4D" TargetMode="External"/><Relationship Id="rId17" Type="http://schemas.openxmlformats.org/officeDocument/2006/relationships/hyperlink" Target="https://twitter.com/iamamigrant" TargetMode="External"/><Relationship Id="rId25" Type="http://schemas.openxmlformats.org/officeDocument/2006/relationships/hyperlink" Target="http://www.iom.int/eu-horn-africa-migration-route-initiative-khartoum-process" TargetMode="External"/><Relationship Id="rId33" Type="http://schemas.openxmlformats.org/officeDocument/2006/relationships/hyperlink" Target="https://www.pidcsec.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amamigrant.org/" TargetMode="External"/><Relationship Id="rId20" Type="http://schemas.openxmlformats.org/officeDocument/2006/relationships/hyperlink" Target="https://www.facebook.com/globalgoalsUN/" TargetMode="External"/><Relationship Id="rId29" Type="http://schemas.openxmlformats.org/officeDocument/2006/relationships/hyperlink" Target="http://portal.crmsv.org/" TargetMode="External"/><Relationship Id="rId1" Type="http://schemas.openxmlformats.org/officeDocument/2006/relationships/numbering" Target="numbering.xml"/><Relationship Id="rId6" Type="http://schemas.openxmlformats.org/officeDocument/2006/relationships/hyperlink" Target="https://migrationdataportal.org/about" TargetMode="External"/><Relationship Id="rId11" Type="http://schemas.openxmlformats.org/officeDocument/2006/relationships/hyperlink" Target="https://www.facebook.com/JMDI.M4D/" TargetMode="External"/><Relationship Id="rId24" Type="http://schemas.openxmlformats.org/officeDocument/2006/relationships/hyperlink" Target="https://www.baliprocess.net/" TargetMode="External"/><Relationship Id="rId32" Type="http://schemas.openxmlformats.org/officeDocument/2006/relationships/hyperlink" Target="https://igad.int/index.php?option=com_content&amp;view=category&amp;layout=blog&amp;id=63&amp;Itemid=159" TargetMode="External"/><Relationship Id="rId37" Type="http://schemas.openxmlformats.org/officeDocument/2006/relationships/fontTable" Target="fontTable.xml"/><Relationship Id="rId5" Type="http://schemas.openxmlformats.org/officeDocument/2006/relationships/hyperlink" Target="https://twitter.com/iom_gmdac" TargetMode="External"/><Relationship Id="rId15" Type="http://schemas.openxmlformats.org/officeDocument/2006/relationships/hyperlink" Target="http://impossiblechoices.org" TargetMode="External"/><Relationship Id="rId23" Type="http://schemas.openxmlformats.org/officeDocument/2006/relationships/hyperlink" Target="https://twitter.com/MOHRE_UAE" TargetMode="External"/><Relationship Id="rId28" Type="http://schemas.openxmlformats.org/officeDocument/2006/relationships/hyperlink" Target="https://igc.ch/" TargetMode="External"/><Relationship Id="rId36" Type="http://schemas.openxmlformats.org/officeDocument/2006/relationships/hyperlink" Target="http://www.lasportal.org" TargetMode="External"/><Relationship Id="rId10" Type="http://schemas.openxmlformats.org/officeDocument/2006/relationships/hyperlink" Target="http://www.migration4development.org/en" TargetMode="External"/><Relationship Id="rId19" Type="http://schemas.openxmlformats.org/officeDocument/2006/relationships/hyperlink" Target="https://twitter.com/globalgoalsun" TargetMode="External"/><Relationship Id="rId31" Type="http://schemas.openxmlformats.org/officeDocument/2006/relationships/hyperlink" Target="https://www.iom.int/intergovernmental-authority-development-regional-consultative-process-migration-igad-rcp" TargetMode="External"/><Relationship Id="rId4" Type="http://schemas.openxmlformats.org/officeDocument/2006/relationships/webSettings" Target="webSettings.xml"/><Relationship Id="rId9" Type="http://schemas.openxmlformats.org/officeDocument/2006/relationships/hyperlink" Target="https://micicinitiative.iom.int/about-micic/approach" TargetMode="External"/><Relationship Id="rId14" Type="http://schemas.openxmlformats.org/officeDocument/2006/relationships/hyperlink" Target="https://together.un.org/" TargetMode="External"/><Relationship Id="rId22" Type="http://schemas.openxmlformats.org/officeDocument/2006/relationships/hyperlink" Target="https://www.rabat-process.org/" TargetMode="External"/><Relationship Id="rId27" Type="http://schemas.openxmlformats.org/officeDocument/2006/relationships/hyperlink" Target="http://segib.org/" TargetMode="External"/><Relationship Id="rId30" Type="http://schemas.openxmlformats.org/officeDocument/2006/relationships/hyperlink" Target="http://www.colomboprocess.org/" TargetMode="External"/><Relationship Id="rId35" Type="http://schemas.openxmlformats.org/officeDocument/2006/relationships/hyperlink" Target="https://www.iom.int/arab-regional-consultativ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Dela Cruz</dc:creator>
  <cp:keywords/>
  <dc:description/>
  <cp:lastModifiedBy>Ace Dela Cruz</cp:lastModifiedBy>
  <cp:revision>3</cp:revision>
  <dcterms:created xsi:type="dcterms:W3CDTF">2018-06-08T07:39:00Z</dcterms:created>
  <dcterms:modified xsi:type="dcterms:W3CDTF">2018-06-08T12:33:00Z</dcterms:modified>
</cp:coreProperties>
</file>